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Ind w:w="-57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337"/>
        <w:gridCol w:w="2756"/>
      </w:tblGrid>
      <w:tr w:rsidR="00AE7107" w:rsidRPr="00DB6F56" w:rsidTr="0024503D">
        <w:trPr>
          <w:trHeight w:val="3175"/>
        </w:trPr>
        <w:tc>
          <w:tcPr>
            <w:tcW w:w="7337" w:type="dxa"/>
            <w:shd w:val="clear" w:color="auto" w:fill="auto"/>
            <w:tcMar>
              <w:left w:w="0" w:type="dxa"/>
              <w:right w:w="0" w:type="dxa"/>
            </w:tcMar>
          </w:tcPr>
          <w:p w:rsidR="00AE7107" w:rsidRPr="00866F36" w:rsidRDefault="00AE7107">
            <w:r w:rsidRPr="00866F36">
              <w:t xml:space="preserve"> </w:t>
            </w:r>
            <w:bookmarkStart w:id="0" w:name="NavnET"/>
            <w:bookmarkStart w:id="1" w:name="Title"/>
            <w:bookmarkStart w:id="2" w:name="Firma"/>
            <w:bookmarkEnd w:id="0"/>
            <w:bookmarkEnd w:id="1"/>
            <w:bookmarkEnd w:id="2"/>
            <w:r w:rsidRPr="00866F36">
              <w:t xml:space="preserve"> </w:t>
            </w:r>
            <w:bookmarkStart w:id="3" w:name="NavnTO"/>
            <w:bookmarkEnd w:id="3"/>
          </w:p>
          <w:p w:rsidR="00AE7107" w:rsidRPr="00866F36" w:rsidRDefault="00AE7107">
            <w:r w:rsidRPr="00866F36">
              <w:t xml:space="preserve"> </w:t>
            </w:r>
            <w:bookmarkStart w:id="4" w:name="adresseET"/>
            <w:bookmarkEnd w:id="4"/>
            <w:r w:rsidRPr="00866F36">
              <w:t xml:space="preserve"> </w:t>
            </w:r>
            <w:bookmarkStart w:id="5" w:name="adresseTO"/>
            <w:bookmarkEnd w:id="5"/>
            <w:r w:rsidRPr="00866F36">
              <w:t xml:space="preserve"> </w:t>
            </w:r>
            <w:bookmarkStart w:id="6" w:name="adresseTRE"/>
            <w:bookmarkEnd w:id="6"/>
          </w:p>
          <w:p w:rsidR="00AE7107" w:rsidRPr="00866F36" w:rsidRDefault="00AE7107">
            <w:r w:rsidRPr="00866F36">
              <w:t xml:space="preserve"> </w:t>
            </w:r>
            <w:bookmarkStart w:id="7" w:name="postnr"/>
            <w:bookmarkEnd w:id="7"/>
            <w:r w:rsidRPr="00866F36">
              <w:t xml:space="preserve"> </w:t>
            </w:r>
            <w:bookmarkStart w:id="8" w:name="by"/>
            <w:bookmarkEnd w:id="8"/>
          </w:p>
          <w:p w:rsidR="00AE7107" w:rsidRPr="00866F36" w:rsidRDefault="00AE7107">
            <w:r w:rsidRPr="00866F36">
              <w:t xml:space="preserve"> </w:t>
            </w:r>
            <w:bookmarkStart w:id="9" w:name="land"/>
            <w:bookmarkStart w:id="10" w:name="_GoBack"/>
            <w:bookmarkEnd w:id="9"/>
            <w:bookmarkEnd w:id="10"/>
          </w:p>
        </w:tc>
        <w:tc>
          <w:tcPr>
            <w:tcW w:w="2756" w:type="dxa"/>
            <w:shd w:val="clear" w:color="auto" w:fill="auto"/>
            <w:tcMar>
              <w:left w:w="0" w:type="dxa"/>
              <w:right w:w="0" w:type="dxa"/>
            </w:tcMar>
          </w:tcPr>
          <w:p w:rsidR="00AE7107" w:rsidRPr="00866F36" w:rsidRDefault="00866F36">
            <w:pPr>
              <w:rPr>
                <w:szCs w:val="18"/>
              </w:rPr>
            </w:pPr>
            <w:bookmarkStart w:id="11" w:name="afdnavn"/>
            <w:r w:rsidRPr="00866F36">
              <w:rPr>
                <w:szCs w:val="18"/>
              </w:rPr>
              <w:t>Kemikalier</w:t>
            </w:r>
            <w:bookmarkEnd w:id="11"/>
          </w:p>
          <w:p w:rsidR="00AE7107" w:rsidRPr="00866F36" w:rsidRDefault="00AE7107">
            <w:pPr>
              <w:rPr>
                <w:szCs w:val="18"/>
              </w:rPr>
            </w:pPr>
            <w:r w:rsidRPr="00866F36">
              <w:rPr>
                <w:szCs w:val="18"/>
              </w:rPr>
              <w:t xml:space="preserve">J.nr. </w:t>
            </w:r>
            <w:bookmarkStart w:id="12" w:name="sagsnr"/>
            <w:r w:rsidR="00866F36" w:rsidRPr="00866F36">
              <w:rPr>
                <w:szCs w:val="18"/>
              </w:rPr>
              <w:t>MST-647-00043</w:t>
            </w:r>
            <w:bookmarkEnd w:id="12"/>
          </w:p>
          <w:p w:rsidR="00AE7107" w:rsidRPr="00866F36" w:rsidRDefault="00AE7107">
            <w:pPr>
              <w:rPr>
                <w:szCs w:val="18"/>
              </w:rPr>
            </w:pPr>
            <w:r w:rsidRPr="00866F36">
              <w:rPr>
                <w:szCs w:val="18"/>
              </w:rPr>
              <w:t xml:space="preserve">Ref. </w:t>
            </w:r>
            <w:bookmarkStart w:id="13" w:name="sagsb"/>
            <w:r w:rsidR="00866F36" w:rsidRPr="00866F36">
              <w:rPr>
                <w:szCs w:val="18"/>
              </w:rPr>
              <w:t>jerlh</w:t>
            </w:r>
            <w:bookmarkEnd w:id="13"/>
          </w:p>
          <w:p w:rsidR="00AE7107" w:rsidRPr="008B5716" w:rsidRDefault="008B5716" w:rsidP="008B5716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31</w:t>
            </w:r>
            <w:r w:rsidR="00DB6F56" w:rsidRPr="008B5716">
              <w:rPr>
                <w:szCs w:val="18"/>
                <w:lang w:val="en-US"/>
              </w:rPr>
              <w:t xml:space="preserve">. </w:t>
            </w:r>
            <w:r w:rsidR="00DB6F56">
              <w:rPr>
                <w:szCs w:val="18"/>
                <w:lang w:val="en-US"/>
              </w:rPr>
              <w:t>m</w:t>
            </w:r>
            <w:r w:rsidR="008A1B56" w:rsidRPr="008B5716">
              <w:rPr>
                <w:szCs w:val="18"/>
                <w:lang w:val="en-US"/>
              </w:rPr>
              <w:t>arts 2014</w:t>
            </w:r>
          </w:p>
        </w:tc>
      </w:tr>
    </w:tbl>
    <w:p w:rsidR="008B5716" w:rsidRDefault="00866F36" w:rsidP="00866F36">
      <w:pPr>
        <w:rPr>
          <w:rFonts w:ascii="Times New Roman" w:hAnsi="Times New Roman"/>
          <w:b/>
          <w:sz w:val="22"/>
          <w:szCs w:val="22"/>
          <w:lang w:val="en-GB"/>
        </w:rPr>
      </w:pPr>
      <w:bookmarkStart w:id="14" w:name="Tekst1"/>
      <w:bookmarkStart w:id="15" w:name="start"/>
      <w:r w:rsidRPr="008B5716">
        <w:rPr>
          <w:rFonts w:ascii="Times New Roman" w:hAnsi="Times New Roman"/>
          <w:b/>
          <w:sz w:val="22"/>
          <w:szCs w:val="22"/>
          <w:lang w:val="en-GB"/>
        </w:rPr>
        <w:t>Administrative considerations for setting a health based quality criterion and C-value (in Danish: B-værdi) for tetrachloroethylene in ambient air</w:t>
      </w:r>
    </w:p>
    <w:p w:rsidR="008B5716" w:rsidRDefault="008B5716" w:rsidP="00866F36">
      <w:pPr>
        <w:rPr>
          <w:rFonts w:ascii="Times New Roman" w:hAnsi="Times New Roman"/>
          <w:b/>
          <w:sz w:val="22"/>
          <w:szCs w:val="22"/>
          <w:lang w:val="en-GB"/>
        </w:rPr>
      </w:pPr>
    </w:p>
    <w:p w:rsidR="008B5716" w:rsidRPr="00A02CFA" w:rsidRDefault="008B5716" w:rsidP="008B5716">
      <w:pPr>
        <w:tabs>
          <w:tab w:val="left" w:pos="2268"/>
        </w:tabs>
        <w:rPr>
          <w:rFonts w:ascii="Times New Roman" w:hAnsi="Times New Roman"/>
          <w:b/>
          <w:sz w:val="22"/>
          <w:szCs w:val="22"/>
          <w:lang w:val="en-GB"/>
        </w:rPr>
      </w:pPr>
      <w:r w:rsidRPr="00A02CFA">
        <w:rPr>
          <w:rFonts w:ascii="Times New Roman" w:hAnsi="Times New Roman"/>
          <w:b/>
          <w:sz w:val="22"/>
          <w:szCs w:val="22"/>
          <w:lang w:val="en-GB"/>
        </w:rPr>
        <w:t>Conclusion:</w:t>
      </w:r>
    </w:p>
    <w:p w:rsidR="00866F36" w:rsidRPr="008B5716" w:rsidRDefault="008B5716" w:rsidP="008B5716">
      <w:pPr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szCs w:val="20"/>
          <w:lang w:val="en-US"/>
        </w:rPr>
        <w:t>The C-value at 0.01 mg/m</w:t>
      </w:r>
      <w:r w:rsidRPr="00EF12AA">
        <w:rPr>
          <w:rFonts w:ascii="Times New Roman" w:hAnsi="Times New Roman"/>
          <w:szCs w:val="20"/>
          <w:vertAlign w:val="superscript"/>
          <w:lang w:val="en-US"/>
        </w:rPr>
        <w:t>3</w:t>
      </w:r>
      <w:r>
        <w:rPr>
          <w:rFonts w:ascii="Times New Roman" w:hAnsi="Times New Roman"/>
          <w:szCs w:val="20"/>
          <w:lang w:val="en-US"/>
        </w:rPr>
        <w:t xml:space="preserve">, Main Group 1 is maintained as an administrative limit value. </w:t>
      </w:r>
    </w:p>
    <w:p w:rsidR="00866F36" w:rsidRPr="008B5716" w:rsidRDefault="00866F36" w:rsidP="00866F36">
      <w:pPr>
        <w:rPr>
          <w:rFonts w:ascii="Times New Roman" w:hAnsi="Times New Roman"/>
          <w:b/>
          <w:sz w:val="22"/>
          <w:szCs w:val="22"/>
          <w:lang w:val="en-GB"/>
        </w:rPr>
      </w:pPr>
    </w:p>
    <w:bookmarkEnd w:id="14"/>
    <w:bookmarkEnd w:id="15"/>
    <w:p w:rsidR="008B5716" w:rsidRPr="008B5716" w:rsidRDefault="008B5716" w:rsidP="00866F36">
      <w:pPr>
        <w:rPr>
          <w:rFonts w:ascii="Times New Roman" w:hAnsi="Times New Roman"/>
          <w:b/>
          <w:szCs w:val="20"/>
          <w:lang w:val="en-US"/>
        </w:rPr>
      </w:pPr>
      <w:r w:rsidRPr="008B5716">
        <w:rPr>
          <w:rFonts w:ascii="Times New Roman" w:hAnsi="Times New Roman"/>
          <w:b/>
          <w:szCs w:val="20"/>
          <w:lang w:val="en-US"/>
        </w:rPr>
        <w:t>Background</w:t>
      </w:r>
    </w:p>
    <w:p w:rsidR="00866F36" w:rsidRPr="005C6E2B" w:rsidRDefault="00866F36" w:rsidP="00866F36">
      <w:pPr>
        <w:rPr>
          <w:rFonts w:ascii="Times New Roman" w:hAnsi="Times New Roman"/>
          <w:szCs w:val="20"/>
          <w:lang w:val="en-US"/>
        </w:rPr>
      </w:pPr>
      <w:r w:rsidRPr="005C6E2B">
        <w:rPr>
          <w:rFonts w:ascii="Times New Roman" w:hAnsi="Times New Roman"/>
          <w:szCs w:val="20"/>
          <w:lang w:val="en-US"/>
        </w:rPr>
        <w:t>Tetrachlorethylene was evaluated in 1995 and a health-based air quality criterion of 0.00017 mg/m</w:t>
      </w:r>
      <w:r w:rsidRPr="005C6E2B">
        <w:rPr>
          <w:rFonts w:ascii="Times New Roman" w:hAnsi="Times New Roman"/>
          <w:szCs w:val="20"/>
          <w:vertAlign w:val="superscript"/>
          <w:lang w:val="en-US"/>
        </w:rPr>
        <w:t xml:space="preserve">3 </w:t>
      </w:r>
      <w:r w:rsidRPr="005C6E2B">
        <w:rPr>
          <w:rFonts w:ascii="Times New Roman" w:hAnsi="Times New Roman"/>
          <w:szCs w:val="20"/>
          <w:lang w:val="en-US"/>
        </w:rPr>
        <w:t xml:space="preserve">was </w:t>
      </w:r>
      <w:r w:rsidR="00E24C4A">
        <w:rPr>
          <w:rFonts w:ascii="Times New Roman" w:hAnsi="Times New Roman"/>
          <w:szCs w:val="20"/>
          <w:lang w:val="en-US"/>
        </w:rPr>
        <w:t>established</w:t>
      </w:r>
      <w:r w:rsidRPr="005C6E2B">
        <w:rPr>
          <w:rFonts w:ascii="Times New Roman" w:hAnsi="Times New Roman"/>
          <w:szCs w:val="20"/>
          <w:lang w:val="en-US"/>
        </w:rPr>
        <w:t xml:space="preserve"> based on the carcinogenic potential (liver tumours in mice) of tetrachloroethylene with the assumption of a non-threshold mechanism (genotoxicity) for the critical effect (Larsen 1995). The C-value </w:t>
      </w:r>
      <w:r w:rsidR="00E24C4A">
        <w:rPr>
          <w:rFonts w:ascii="Times New Roman" w:hAnsi="Times New Roman"/>
          <w:szCs w:val="20"/>
          <w:lang w:val="en-US"/>
        </w:rPr>
        <w:t xml:space="preserve">(Contribution Value) </w:t>
      </w:r>
      <w:r w:rsidRPr="005C6E2B">
        <w:rPr>
          <w:rFonts w:ascii="Times New Roman" w:hAnsi="Times New Roman"/>
          <w:szCs w:val="20"/>
          <w:lang w:val="en-US"/>
        </w:rPr>
        <w:t xml:space="preserve">was </w:t>
      </w:r>
      <w:r w:rsidR="00CA0706">
        <w:rPr>
          <w:rFonts w:ascii="Times New Roman" w:hAnsi="Times New Roman"/>
          <w:szCs w:val="20"/>
          <w:lang w:val="en-US"/>
        </w:rPr>
        <w:t>determined</w:t>
      </w:r>
      <w:r w:rsidR="00E24C4A">
        <w:rPr>
          <w:rFonts w:ascii="Times New Roman" w:hAnsi="Times New Roman"/>
          <w:szCs w:val="20"/>
          <w:lang w:val="en-US"/>
        </w:rPr>
        <w:t xml:space="preserve"> </w:t>
      </w:r>
      <w:r w:rsidRPr="005C6E2B">
        <w:rPr>
          <w:rFonts w:ascii="Times New Roman" w:hAnsi="Times New Roman"/>
          <w:szCs w:val="20"/>
          <w:lang w:val="en-US"/>
        </w:rPr>
        <w:t>at 0.01 mg/m</w:t>
      </w:r>
      <w:r w:rsidRPr="005C6E2B">
        <w:rPr>
          <w:rFonts w:ascii="Times New Roman" w:hAnsi="Times New Roman"/>
          <w:szCs w:val="20"/>
          <w:vertAlign w:val="superscript"/>
          <w:lang w:val="en-US"/>
        </w:rPr>
        <w:t>3</w:t>
      </w:r>
      <w:r w:rsidRPr="005C6E2B">
        <w:rPr>
          <w:rFonts w:ascii="Times New Roman" w:hAnsi="Times New Roman"/>
          <w:szCs w:val="20"/>
          <w:lang w:val="en-US"/>
        </w:rPr>
        <w:t>, and tetrachloroethylene was placed in Main Group 1</w:t>
      </w:r>
      <w:r w:rsidR="006A02E6">
        <w:rPr>
          <w:rFonts w:ascii="Times New Roman" w:hAnsi="Times New Roman"/>
          <w:szCs w:val="20"/>
          <w:lang w:val="en-US"/>
        </w:rPr>
        <w:t xml:space="preserve">, which is the strictest regulation </w:t>
      </w:r>
      <w:r w:rsidR="00EA7C08">
        <w:rPr>
          <w:rFonts w:ascii="Times New Roman" w:hAnsi="Times New Roman"/>
          <w:szCs w:val="20"/>
          <w:lang w:val="en-US"/>
        </w:rPr>
        <w:t xml:space="preserve">rate </w:t>
      </w:r>
      <w:r w:rsidR="006A02E6">
        <w:rPr>
          <w:rFonts w:ascii="Times New Roman" w:hAnsi="Times New Roman"/>
          <w:szCs w:val="20"/>
          <w:lang w:val="en-US"/>
        </w:rPr>
        <w:t>for emission</w:t>
      </w:r>
      <w:r w:rsidRPr="005C6E2B">
        <w:rPr>
          <w:rFonts w:ascii="Times New Roman" w:hAnsi="Times New Roman"/>
          <w:szCs w:val="20"/>
          <w:lang w:val="en-US"/>
        </w:rPr>
        <w:t xml:space="preserve">. </w:t>
      </w:r>
    </w:p>
    <w:p w:rsidR="00866F36" w:rsidRPr="005C6E2B" w:rsidRDefault="00866F36" w:rsidP="00866F36">
      <w:pPr>
        <w:rPr>
          <w:rFonts w:ascii="Times New Roman" w:hAnsi="Times New Roman"/>
          <w:szCs w:val="20"/>
          <w:lang w:val="en-US"/>
        </w:rPr>
      </w:pPr>
    </w:p>
    <w:p w:rsidR="00866F36" w:rsidRPr="005C6E2B" w:rsidRDefault="00866F36" w:rsidP="00866F36">
      <w:pPr>
        <w:rPr>
          <w:rFonts w:ascii="Times New Roman" w:hAnsi="Times New Roman"/>
          <w:szCs w:val="20"/>
          <w:lang w:val="en-US"/>
        </w:rPr>
      </w:pPr>
      <w:r w:rsidRPr="005C6E2B">
        <w:rPr>
          <w:rFonts w:ascii="Times New Roman" w:hAnsi="Times New Roman"/>
          <w:szCs w:val="20"/>
          <w:lang w:val="en-US"/>
        </w:rPr>
        <w:t xml:space="preserve">In 2001, the documentation for tetrachloroethylene was updated and revised and the health-based air quality criterion was </w:t>
      </w:r>
      <w:r w:rsidR="00EA7C08">
        <w:rPr>
          <w:rFonts w:ascii="Times New Roman" w:hAnsi="Times New Roman"/>
          <w:szCs w:val="20"/>
          <w:lang w:val="en-US"/>
        </w:rPr>
        <w:t>amended to</w:t>
      </w:r>
      <w:r w:rsidRPr="005C6E2B">
        <w:rPr>
          <w:rFonts w:ascii="Times New Roman" w:hAnsi="Times New Roman"/>
          <w:szCs w:val="20"/>
          <w:lang w:val="en-US"/>
        </w:rPr>
        <w:t xml:space="preserve"> 0.006 </w:t>
      </w:r>
      <w:r w:rsidR="00F13E21">
        <w:rPr>
          <w:rFonts w:ascii="Times New Roman" w:hAnsi="Times New Roman"/>
          <w:szCs w:val="20"/>
          <w:lang w:val="en-US"/>
        </w:rPr>
        <w:t>m</w:t>
      </w:r>
      <w:r w:rsidRPr="005C6E2B">
        <w:rPr>
          <w:rFonts w:ascii="Times New Roman" w:hAnsi="Times New Roman"/>
          <w:szCs w:val="20"/>
          <w:lang w:val="en-US"/>
        </w:rPr>
        <w:t>g/m</w:t>
      </w:r>
      <w:r w:rsidRPr="005C6E2B">
        <w:rPr>
          <w:rFonts w:ascii="Times New Roman" w:hAnsi="Times New Roman"/>
          <w:szCs w:val="20"/>
          <w:vertAlign w:val="superscript"/>
          <w:lang w:val="en-US"/>
        </w:rPr>
        <w:t>3</w:t>
      </w:r>
      <w:r w:rsidRPr="005C6E2B">
        <w:rPr>
          <w:rFonts w:ascii="Times New Roman" w:hAnsi="Times New Roman"/>
          <w:szCs w:val="20"/>
          <w:lang w:val="en-US"/>
        </w:rPr>
        <w:t xml:space="preserve"> based on the toxicity to the liver, </w:t>
      </w:r>
      <w:r w:rsidR="00EA7C08">
        <w:rPr>
          <w:rFonts w:ascii="Times New Roman" w:hAnsi="Times New Roman"/>
          <w:szCs w:val="20"/>
          <w:lang w:val="en-US"/>
        </w:rPr>
        <w:t xml:space="preserve">which is </w:t>
      </w:r>
      <w:r w:rsidRPr="005C6E2B">
        <w:rPr>
          <w:rFonts w:ascii="Times New Roman" w:hAnsi="Times New Roman"/>
          <w:szCs w:val="20"/>
          <w:lang w:val="en-US"/>
        </w:rPr>
        <w:t xml:space="preserve">an endpoint </w:t>
      </w:r>
      <w:r w:rsidR="00EA7C08">
        <w:rPr>
          <w:rFonts w:ascii="Times New Roman" w:hAnsi="Times New Roman"/>
          <w:szCs w:val="20"/>
          <w:lang w:val="en-US"/>
        </w:rPr>
        <w:t xml:space="preserve">assumed to have </w:t>
      </w:r>
      <w:r w:rsidRPr="005C6E2B">
        <w:rPr>
          <w:rFonts w:ascii="Times New Roman" w:hAnsi="Times New Roman"/>
          <w:szCs w:val="20"/>
          <w:lang w:val="en-US"/>
        </w:rPr>
        <w:t xml:space="preserve">a threshold mechanism. The C-value </w:t>
      </w:r>
      <w:r w:rsidR="00E24C4A">
        <w:rPr>
          <w:rFonts w:ascii="Times New Roman" w:hAnsi="Times New Roman"/>
          <w:szCs w:val="20"/>
          <w:lang w:val="en-US"/>
        </w:rPr>
        <w:t>remained</w:t>
      </w:r>
      <w:r w:rsidRPr="005C6E2B">
        <w:rPr>
          <w:rFonts w:ascii="Times New Roman" w:hAnsi="Times New Roman"/>
          <w:szCs w:val="20"/>
          <w:lang w:val="en-US"/>
        </w:rPr>
        <w:t xml:space="preserve"> at 0.01 mg/m</w:t>
      </w:r>
      <w:r w:rsidRPr="005C6E2B">
        <w:rPr>
          <w:rFonts w:ascii="Times New Roman" w:hAnsi="Times New Roman"/>
          <w:szCs w:val="20"/>
          <w:vertAlign w:val="superscript"/>
          <w:lang w:val="en-US"/>
        </w:rPr>
        <w:t>3</w:t>
      </w:r>
      <w:r w:rsidR="00E24C4A">
        <w:rPr>
          <w:rFonts w:ascii="Times New Roman" w:hAnsi="Times New Roman"/>
          <w:szCs w:val="20"/>
          <w:lang w:val="en-US"/>
        </w:rPr>
        <w:t xml:space="preserve"> </w:t>
      </w:r>
      <w:r w:rsidRPr="005C6E2B">
        <w:rPr>
          <w:rFonts w:ascii="Times New Roman" w:hAnsi="Times New Roman"/>
          <w:szCs w:val="20"/>
          <w:lang w:val="en-US"/>
        </w:rPr>
        <w:t xml:space="preserve">and </w:t>
      </w:r>
      <w:r w:rsidR="00E24C4A">
        <w:rPr>
          <w:rFonts w:ascii="Times New Roman" w:hAnsi="Times New Roman"/>
          <w:szCs w:val="20"/>
          <w:lang w:val="en-US"/>
        </w:rPr>
        <w:t xml:space="preserve">in </w:t>
      </w:r>
      <w:r w:rsidRPr="005C6E2B">
        <w:rPr>
          <w:rFonts w:ascii="Times New Roman" w:hAnsi="Times New Roman"/>
          <w:szCs w:val="20"/>
          <w:lang w:val="en-US"/>
        </w:rPr>
        <w:t xml:space="preserve">Main Group 1. </w:t>
      </w:r>
      <w:r w:rsidR="008B5716">
        <w:rPr>
          <w:rFonts w:ascii="Times New Roman" w:hAnsi="Times New Roman"/>
          <w:szCs w:val="20"/>
          <w:lang w:val="en-US"/>
        </w:rPr>
        <w:t xml:space="preserve"> </w:t>
      </w:r>
      <w:r w:rsidRPr="005C6E2B">
        <w:rPr>
          <w:rFonts w:ascii="Times New Roman" w:hAnsi="Times New Roman"/>
          <w:szCs w:val="20"/>
          <w:lang w:val="en-US"/>
        </w:rPr>
        <w:t xml:space="preserve">New evaluations of tetrachloroethylene as well as new data have </w:t>
      </w:r>
      <w:r w:rsidR="00EA7C08">
        <w:rPr>
          <w:rFonts w:ascii="Times New Roman" w:hAnsi="Times New Roman"/>
          <w:szCs w:val="20"/>
          <w:lang w:val="en-US"/>
        </w:rPr>
        <w:t xml:space="preserve">subsequently </w:t>
      </w:r>
      <w:r w:rsidRPr="005C6E2B">
        <w:rPr>
          <w:rFonts w:ascii="Times New Roman" w:hAnsi="Times New Roman"/>
          <w:szCs w:val="20"/>
          <w:lang w:val="en-US"/>
        </w:rPr>
        <w:t>been published since the revision</w:t>
      </w:r>
      <w:r w:rsidR="00CA0706">
        <w:rPr>
          <w:rFonts w:ascii="Times New Roman" w:hAnsi="Times New Roman"/>
          <w:szCs w:val="20"/>
          <w:lang w:val="en-US"/>
        </w:rPr>
        <w:t xml:space="preserve"> in 2001</w:t>
      </w:r>
      <w:r w:rsidRPr="005C6E2B">
        <w:rPr>
          <w:rFonts w:ascii="Times New Roman" w:hAnsi="Times New Roman"/>
          <w:szCs w:val="20"/>
          <w:lang w:val="en-US"/>
        </w:rPr>
        <w:t xml:space="preserve"> of tetrachloroethylene including:</w:t>
      </w:r>
    </w:p>
    <w:p w:rsidR="00866F36" w:rsidRPr="005C6E2B" w:rsidRDefault="00866F36" w:rsidP="00866F36">
      <w:pPr>
        <w:rPr>
          <w:rFonts w:ascii="Times New Roman" w:hAnsi="Times New Roman"/>
          <w:szCs w:val="20"/>
          <w:lang w:val="en-US"/>
        </w:rPr>
      </w:pPr>
    </w:p>
    <w:p w:rsidR="00866F36" w:rsidRPr="005C6E2B" w:rsidRDefault="00866F36" w:rsidP="00866F36">
      <w:pPr>
        <w:rPr>
          <w:rFonts w:ascii="Times New Roman" w:hAnsi="Times New Roman"/>
          <w:szCs w:val="20"/>
          <w:lang w:val="en-US"/>
        </w:rPr>
      </w:pPr>
      <w:r w:rsidRPr="005C6E2B">
        <w:rPr>
          <w:rFonts w:ascii="Times New Roman" w:hAnsi="Times New Roman"/>
          <w:szCs w:val="20"/>
          <w:lang w:val="en-US"/>
        </w:rPr>
        <w:t xml:space="preserve">SCHER Opinion (SCHER 2008), </w:t>
      </w:r>
    </w:p>
    <w:p w:rsidR="00866F36" w:rsidRPr="005C6E2B" w:rsidRDefault="00866F36" w:rsidP="00866F36">
      <w:pPr>
        <w:rPr>
          <w:rFonts w:ascii="Times New Roman" w:hAnsi="Times New Roman"/>
          <w:szCs w:val="20"/>
          <w:lang w:val="en-US"/>
        </w:rPr>
      </w:pPr>
      <w:r w:rsidRPr="005C6E2B">
        <w:rPr>
          <w:rFonts w:ascii="Times New Roman" w:hAnsi="Times New Roman"/>
          <w:szCs w:val="20"/>
          <w:lang w:val="en-US"/>
        </w:rPr>
        <w:lastRenderedPageBreak/>
        <w:t xml:space="preserve">US-EPA Toxicological Review (US-EPA 2012), </w:t>
      </w:r>
    </w:p>
    <w:p w:rsidR="00866F36" w:rsidRPr="005C6E2B" w:rsidRDefault="00866F36" w:rsidP="00866F36">
      <w:pPr>
        <w:rPr>
          <w:rFonts w:ascii="Times New Roman" w:hAnsi="Times New Roman"/>
          <w:szCs w:val="20"/>
          <w:lang w:val="en-US"/>
        </w:rPr>
      </w:pPr>
    </w:p>
    <w:p w:rsidR="005C6E2B" w:rsidRDefault="00E24C4A" w:rsidP="00995B42">
      <w:pPr>
        <w:rPr>
          <w:rFonts w:ascii="Times New Roman" w:hAnsi="Times New Roman"/>
          <w:szCs w:val="20"/>
          <w:lang w:val="en-US"/>
        </w:rPr>
      </w:pPr>
      <w:r>
        <w:rPr>
          <w:rFonts w:ascii="Times New Roman" w:hAnsi="Times New Roman"/>
          <w:szCs w:val="20"/>
          <w:lang w:val="en-US"/>
        </w:rPr>
        <w:t>Focus of a</w:t>
      </w:r>
      <w:r w:rsidR="00866F36" w:rsidRPr="005C6E2B">
        <w:rPr>
          <w:rFonts w:ascii="Times New Roman" w:hAnsi="Times New Roman"/>
          <w:szCs w:val="20"/>
          <w:lang w:val="en-US"/>
        </w:rPr>
        <w:t xml:space="preserve">ttention has also been to the genotoxicity study published in 2010 (Cederberg et al. 2010a). </w:t>
      </w:r>
      <w:r w:rsidR="008E694A">
        <w:rPr>
          <w:rFonts w:ascii="Times New Roman" w:hAnsi="Times New Roman"/>
          <w:szCs w:val="20"/>
          <w:lang w:val="en-US"/>
        </w:rPr>
        <w:t>T</w:t>
      </w:r>
      <w:r w:rsidR="005C6E2B" w:rsidRPr="005C6E2B">
        <w:rPr>
          <w:rFonts w:ascii="Times New Roman" w:hAnsi="Times New Roman"/>
          <w:szCs w:val="20"/>
          <w:lang w:val="en-US"/>
        </w:rPr>
        <w:t xml:space="preserve">he new data </w:t>
      </w:r>
      <w:r w:rsidR="008E694A">
        <w:rPr>
          <w:rFonts w:ascii="Times New Roman" w:hAnsi="Times New Roman"/>
          <w:szCs w:val="20"/>
          <w:lang w:val="en-US"/>
        </w:rPr>
        <w:t xml:space="preserve">was evaluated by </w:t>
      </w:r>
      <w:r w:rsidR="00D025BA">
        <w:rPr>
          <w:rFonts w:ascii="Times New Roman" w:hAnsi="Times New Roman"/>
          <w:szCs w:val="20"/>
          <w:lang w:val="en-US"/>
        </w:rPr>
        <w:t xml:space="preserve">the </w:t>
      </w:r>
      <w:r w:rsidR="00D025BA" w:rsidRPr="00D025BA">
        <w:rPr>
          <w:rFonts w:ascii="Times New Roman" w:hAnsi="Times New Roman"/>
          <w:szCs w:val="20"/>
          <w:lang w:val="en-US"/>
        </w:rPr>
        <w:t>National Food Institute, Technical University of Denmark</w:t>
      </w:r>
      <w:r w:rsidR="00D025BA">
        <w:rPr>
          <w:rFonts w:ascii="Times New Roman" w:hAnsi="Times New Roman"/>
          <w:szCs w:val="20"/>
          <w:lang w:val="en-US"/>
        </w:rPr>
        <w:t xml:space="preserve"> (</w:t>
      </w:r>
      <w:r w:rsidR="00D025BA" w:rsidRPr="005C6E2B">
        <w:rPr>
          <w:rFonts w:ascii="Times New Roman" w:hAnsi="Times New Roman"/>
          <w:szCs w:val="20"/>
          <w:lang w:val="en-US"/>
        </w:rPr>
        <w:t>DTU F</w:t>
      </w:r>
      <w:r w:rsidR="00D025BA">
        <w:rPr>
          <w:rFonts w:ascii="Times New Roman" w:hAnsi="Times New Roman"/>
          <w:szCs w:val="20"/>
          <w:lang w:val="en-US"/>
        </w:rPr>
        <w:t>ood)</w:t>
      </w:r>
      <w:r w:rsidR="00D025BA" w:rsidRPr="00D025BA">
        <w:rPr>
          <w:rFonts w:ascii="Times New Roman" w:hAnsi="Times New Roman"/>
          <w:szCs w:val="20"/>
          <w:lang w:val="en-US"/>
        </w:rPr>
        <w:t>,</w:t>
      </w:r>
      <w:r w:rsidR="00995B42" w:rsidRPr="005C6E2B">
        <w:rPr>
          <w:rFonts w:ascii="Times New Roman" w:hAnsi="Times New Roman"/>
          <w:szCs w:val="20"/>
          <w:lang w:val="en-US"/>
        </w:rPr>
        <w:t xml:space="preserve"> </w:t>
      </w:r>
      <w:r w:rsidR="00653F14">
        <w:rPr>
          <w:rFonts w:ascii="Times New Roman" w:hAnsi="Times New Roman"/>
          <w:szCs w:val="20"/>
          <w:lang w:val="en-US"/>
        </w:rPr>
        <w:t xml:space="preserve">who in 2013 </w:t>
      </w:r>
      <w:r w:rsidR="008E694A">
        <w:rPr>
          <w:rFonts w:ascii="Times New Roman" w:hAnsi="Times New Roman"/>
          <w:szCs w:val="20"/>
          <w:lang w:val="en-US"/>
        </w:rPr>
        <w:t xml:space="preserve">proposed </w:t>
      </w:r>
      <w:r w:rsidR="00995B42" w:rsidRPr="005C6E2B">
        <w:rPr>
          <w:rFonts w:ascii="Times New Roman" w:hAnsi="Times New Roman"/>
          <w:szCs w:val="20"/>
          <w:lang w:val="en-US"/>
        </w:rPr>
        <w:t>a new C-value</w:t>
      </w:r>
      <w:r w:rsidR="008E694A">
        <w:rPr>
          <w:rFonts w:ascii="Times New Roman" w:hAnsi="Times New Roman"/>
          <w:szCs w:val="20"/>
          <w:lang w:val="en-US"/>
        </w:rPr>
        <w:t xml:space="preserve"> on</w:t>
      </w:r>
      <w:r w:rsidR="00995B42" w:rsidRPr="005C6E2B">
        <w:rPr>
          <w:rFonts w:ascii="Times New Roman" w:hAnsi="Times New Roman"/>
          <w:szCs w:val="20"/>
          <w:lang w:val="en-US"/>
        </w:rPr>
        <w:t xml:space="preserve"> 0</w:t>
      </w:r>
      <w:r w:rsidR="003D5C05">
        <w:rPr>
          <w:rFonts w:ascii="Times New Roman" w:hAnsi="Times New Roman"/>
          <w:szCs w:val="20"/>
          <w:lang w:val="en-US"/>
        </w:rPr>
        <w:t>.</w:t>
      </w:r>
      <w:r w:rsidR="00995B42" w:rsidRPr="005C6E2B">
        <w:rPr>
          <w:rFonts w:ascii="Times New Roman" w:hAnsi="Times New Roman"/>
          <w:szCs w:val="20"/>
          <w:lang w:val="en-US"/>
        </w:rPr>
        <w:t>05 mg/m</w:t>
      </w:r>
      <w:r w:rsidR="00995B42" w:rsidRPr="008E694A">
        <w:rPr>
          <w:rFonts w:ascii="Times New Roman" w:hAnsi="Times New Roman"/>
          <w:szCs w:val="20"/>
          <w:vertAlign w:val="superscript"/>
          <w:lang w:val="en-US"/>
        </w:rPr>
        <w:t>3</w:t>
      </w:r>
      <w:r w:rsidR="00995B42" w:rsidRPr="005C6E2B">
        <w:rPr>
          <w:rFonts w:ascii="Times New Roman" w:hAnsi="Times New Roman"/>
          <w:szCs w:val="20"/>
          <w:lang w:val="en-US"/>
        </w:rPr>
        <w:t xml:space="preserve">, Main </w:t>
      </w:r>
      <w:r w:rsidR="005C6E2B" w:rsidRPr="005C6E2B">
        <w:rPr>
          <w:rFonts w:ascii="Times New Roman" w:hAnsi="Times New Roman"/>
          <w:szCs w:val="20"/>
          <w:lang w:val="en-US"/>
        </w:rPr>
        <w:t xml:space="preserve">Group </w:t>
      </w:r>
      <w:r w:rsidR="006A02E6">
        <w:rPr>
          <w:rFonts w:ascii="Times New Roman" w:hAnsi="Times New Roman"/>
          <w:szCs w:val="20"/>
          <w:lang w:val="en-US"/>
        </w:rPr>
        <w:t>2</w:t>
      </w:r>
      <w:r w:rsidR="00653F14">
        <w:rPr>
          <w:rFonts w:ascii="Times New Roman" w:hAnsi="Times New Roman"/>
          <w:szCs w:val="20"/>
          <w:lang w:val="en-US"/>
        </w:rPr>
        <w:t xml:space="preserve"> based on this</w:t>
      </w:r>
      <w:r w:rsidR="008E694A">
        <w:rPr>
          <w:rFonts w:ascii="Times New Roman" w:hAnsi="Times New Roman"/>
          <w:szCs w:val="20"/>
          <w:lang w:val="en-US"/>
        </w:rPr>
        <w:t>.</w:t>
      </w:r>
      <w:r w:rsidR="005C6E2B" w:rsidRPr="005C6E2B">
        <w:rPr>
          <w:rFonts w:ascii="Times New Roman" w:hAnsi="Times New Roman"/>
          <w:szCs w:val="20"/>
          <w:lang w:val="en-US"/>
        </w:rPr>
        <w:t xml:space="preserve"> </w:t>
      </w:r>
    </w:p>
    <w:p w:rsidR="00FD6B09" w:rsidRPr="008B5716" w:rsidRDefault="00FD6B09" w:rsidP="00FD6B09">
      <w:pPr>
        <w:rPr>
          <w:rFonts w:ascii="Times New Roman" w:hAnsi="Times New Roman"/>
          <w:b/>
          <w:sz w:val="16"/>
          <w:szCs w:val="16"/>
          <w:lang w:val="en-US"/>
        </w:rPr>
      </w:pPr>
      <w:r w:rsidRPr="008B5716">
        <w:rPr>
          <w:rFonts w:ascii="Times New Roman" w:hAnsi="Times New Roman"/>
          <w:b/>
          <w:sz w:val="16"/>
          <w:szCs w:val="16"/>
          <w:lang w:val="en-US"/>
        </w:rPr>
        <w:t>References:</w:t>
      </w:r>
    </w:p>
    <w:p w:rsidR="00FD6B09" w:rsidRPr="008B5716" w:rsidRDefault="00FD6B09" w:rsidP="00FD6B09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tLeast"/>
        <w:jc w:val="both"/>
        <w:rPr>
          <w:rFonts w:ascii="Times Roman" w:hAnsi="Times Roman"/>
          <w:spacing w:val="-2"/>
          <w:sz w:val="16"/>
          <w:szCs w:val="16"/>
        </w:rPr>
      </w:pPr>
      <w:r w:rsidRPr="008B5716">
        <w:rPr>
          <w:rFonts w:ascii="Times Roman" w:hAnsi="Times Roman"/>
          <w:spacing w:val="-2"/>
          <w:sz w:val="16"/>
          <w:szCs w:val="16"/>
          <w:lang w:val="en-US"/>
        </w:rPr>
        <w:t xml:space="preserve">Nielsen E (2014): Evaluation of health hazards by exposure to tetrachloroethylene. </w:t>
      </w:r>
      <w:r w:rsidRPr="008B5716">
        <w:rPr>
          <w:rFonts w:ascii="Times Roman" w:hAnsi="Times Roman"/>
          <w:spacing w:val="-2"/>
          <w:sz w:val="16"/>
          <w:szCs w:val="16"/>
        </w:rPr>
        <w:t>Afdeling for Toksikologi og Risikovurdering, DTU Fødevareinstituttet. Baggrundsrapport udarbej</w:t>
      </w:r>
      <w:r w:rsidRPr="008B5716">
        <w:rPr>
          <w:rFonts w:ascii="Times Roman" w:hAnsi="Times Roman"/>
          <w:spacing w:val="-2"/>
          <w:sz w:val="16"/>
          <w:szCs w:val="16"/>
        </w:rPr>
        <w:softHyphen/>
        <w:t>det for Miljøstyrelsen.</w:t>
      </w:r>
    </w:p>
    <w:p w:rsidR="00FD6B09" w:rsidRDefault="00FD6B09" w:rsidP="00FD6B09">
      <w:pPr>
        <w:rPr>
          <w:rFonts w:ascii="Times New Roman" w:hAnsi="Times New Roman"/>
          <w:szCs w:val="20"/>
        </w:rPr>
      </w:pPr>
    </w:p>
    <w:p w:rsidR="008B5716" w:rsidRPr="00CA0706" w:rsidRDefault="008B5716" w:rsidP="00995B42">
      <w:pPr>
        <w:rPr>
          <w:rFonts w:ascii="Times New Roman" w:hAnsi="Times New Roman"/>
          <w:szCs w:val="20"/>
        </w:rPr>
      </w:pPr>
    </w:p>
    <w:p w:rsidR="00BD7C10" w:rsidRDefault="00C42D7E" w:rsidP="00995B42">
      <w:pPr>
        <w:rPr>
          <w:rFonts w:ascii="Times New Roman" w:hAnsi="Times New Roman"/>
          <w:szCs w:val="20"/>
          <w:lang w:val="en-US"/>
        </w:rPr>
      </w:pPr>
      <w:r>
        <w:rPr>
          <w:rFonts w:ascii="Times New Roman" w:hAnsi="Times New Roman"/>
          <w:szCs w:val="20"/>
          <w:lang w:val="en-US"/>
        </w:rPr>
        <w:t>Subsequently c</w:t>
      </w:r>
      <w:r w:rsidR="005C6E2B" w:rsidRPr="005C6E2B">
        <w:rPr>
          <w:rFonts w:ascii="Times New Roman" w:hAnsi="Times New Roman"/>
          <w:szCs w:val="20"/>
          <w:lang w:val="en-US"/>
        </w:rPr>
        <w:t xml:space="preserve">oncerns on </w:t>
      </w:r>
      <w:r w:rsidR="00995B42" w:rsidRPr="005C6E2B">
        <w:rPr>
          <w:rFonts w:ascii="Times New Roman" w:hAnsi="Times New Roman"/>
          <w:szCs w:val="20"/>
          <w:lang w:val="en-US"/>
        </w:rPr>
        <w:t xml:space="preserve">prenatal and early postnatal </w:t>
      </w:r>
      <w:r w:rsidR="005C6E2B" w:rsidRPr="005C6E2B">
        <w:rPr>
          <w:rFonts w:ascii="Times New Roman" w:hAnsi="Times New Roman"/>
          <w:szCs w:val="20"/>
          <w:lang w:val="en-US"/>
        </w:rPr>
        <w:t xml:space="preserve">neurotoxic effects </w:t>
      </w:r>
      <w:r w:rsidR="00711699">
        <w:rPr>
          <w:rFonts w:ascii="Times New Roman" w:hAnsi="Times New Roman"/>
          <w:szCs w:val="20"/>
          <w:lang w:val="en-US"/>
        </w:rPr>
        <w:t xml:space="preserve">have </w:t>
      </w:r>
      <w:r>
        <w:rPr>
          <w:rFonts w:ascii="Times New Roman" w:hAnsi="Times New Roman"/>
          <w:szCs w:val="20"/>
          <w:lang w:val="en-US"/>
        </w:rPr>
        <w:t>arisen, and resulted in an additional evaluation on this.  T</w:t>
      </w:r>
      <w:r w:rsidR="00711699">
        <w:rPr>
          <w:rFonts w:ascii="Times New Roman" w:hAnsi="Times New Roman"/>
          <w:szCs w:val="20"/>
          <w:lang w:val="en-US"/>
        </w:rPr>
        <w:t>he evaluation</w:t>
      </w:r>
      <w:r>
        <w:rPr>
          <w:rFonts w:ascii="Times New Roman" w:hAnsi="Times New Roman"/>
          <w:szCs w:val="20"/>
          <w:lang w:val="en-US"/>
        </w:rPr>
        <w:t xml:space="preserve"> concluded</w:t>
      </w:r>
      <w:r w:rsidR="00711699">
        <w:rPr>
          <w:rFonts w:ascii="Times New Roman" w:hAnsi="Times New Roman"/>
          <w:szCs w:val="20"/>
          <w:lang w:val="en-US"/>
        </w:rPr>
        <w:t xml:space="preserve"> </w:t>
      </w:r>
      <w:r w:rsidR="005C6E2B" w:rsidRPr="005C6E2B">
        <w:rPr>
          <w:rFonts w:ascii="Times New Roman" w:hAnsi="Times New Roman"/>
          <w:szCs w:val="20"/>
          <w:lang w:val="en-US"/>
        </w:rPr>
        <w:t xml:space="preserve">that there </w:t>
      </w:r>
      <w:r w:rsidR="006A02E6">
        <w:rPr>
          <w:rFonts w:ascii="Times New Roman" w:hAnsi="Times New Roman"/>
          <w:szCs w:val="20"/>
          <w:lang w:val="en-US"/>
        </w:rPr>
        <w:t xml:space="preserve">was </w:t>
      </w:r>
      <w:r w:rsidR="00995B42" w:rsidRPr="005C6E2B">
        <w:rPr>
          <w:rFonts w:ascii="Times New Roman" w:hAnsi="Times New Roman"/>
          <w:szCs w:val="20"/>
          <w:lang w:val="en-US"/>
        </w:rPr>
        <w:t xml:space="preserve">no association between </w:t>
      </w:r>
      <w:r w:rsidR="005C6E2B" w:rsidRPr="005C6E2B">
        <w:rPr>
          <w:rFonts w:ascii="Times New Roman" w:hAnsi="Times New Roman"/>
          <w:szCs w:val="20"/>
          <w:lang w:val="en-US"/>
        </w:rPr>
        <w:t>the long-term prenatal and early postnatal exposure to tetrachloro</w:t>
      </w:r>
      <w:r w:rsidR="008A1B56">
        <w:rPr>
          <w:rFonts w:ascii="Times New Roman" w:hAnsi="Times New Roman"/>
          <w:szCs w:val="20"/>
          <w:lang w:val="en-US"/>
        </w:rPr>
        <w:t>-</w:t>
      </w:r>
      <w:r w:rsidR="005C6E2B" w:rsidRPr="005C6E2B">
        <w:rPr>
          <w:rFonts w:ascii="Times New Roman" w:hAnsi="Times New Roman"/>
          <w:szCs w:val="20"/>
          <w:lang w:val="en-US"/>
        </w:rPr>
        <w:t>ethylene and the neurotoxic effects and the end points in the studies</w:t>
      </w:r>
      <w:r w:rsidR="00653F14">
        <w:rPr>
          <w:rFonts w:ascii="Times New Roman" w:hAnsi="Times New Roman"/>
          <w:szCs w:val="20"/>
          <w:lang w:val="en-US"/>
        </w:rPr>
        <w:t xml:space="preserve">, and that </w:t>
      </w:r>
      <w:r w:rsidR="005C6E2B" w:rsidRPr="005C6E2B">
        <w:rPr>
          <w:rFonts w:ascii="Times New Roman" w:hAnsi="Times New Roman"/>
          <w:szCs w:val="20"/>
          <w:lang w:val="en-US"/>
        </w:rPr>
        <w:t xml:space="preserve">the eased C-value </w:t>
      </w:r>
      <w:r w:rsidR="00C91A6E">
        <w:rPr>
          <w:rFonts w:ascii="Times New Roman" w:hAnsi="Times New Roman"/>
          <w:szCs w:val="20"/>
          <w:lang w:val="en-US"/>
        </w:rPr>
        <w:t xml:space="preserve">also </w:t>
      </w:r>
      <w:r w:rsidR="005C6E2B" w:rsidRPr="005C6E2B">
        <w:rPr>
          <w:rFonts w:ascii="Times New Roman" w:hAnsi="Times New Roman"/>
          <w:szCs w:val="20"/>
          <w:lang w:val="en-US"/>
        </w:rPr>
        <w:t>w</w:t>
      </w:r>
      <w:r w:rsidR="006A02E6">
        <w:rPr>
          <w:rFonts w:ascii="Times New Roman" w:hAnsi="Times New Roman"/>
          <w:szCs w:val="20"/>
          <w:lang w:val="en-US"/>
        </w:rPr>
        <w:t>ould</w:t>
      </w:r>
      <w:r w:rsidR="005C6E2B" w:rsidRPr="005C6E2B">
        <w:rPr>
          <w:rFonts w:ascii="Times New Roman" w:hAnsi="Times New Roman"/>
          <w:szCs w:val="20"/>
          <w:lang w:val="en-US"/>
        </w:rPr>
        <w:t xml:space="preserve"> take the prenatal and early postnatal neurotoxic effects into account.</w:t>
      </w:r>
      <w:r w:rsidR="00EF12AA">
        <w:rPr>
          <w:rFonts w:ascii="Times New Roman" w:hAnsi="Times New Roman"/>
          <w:szCs w:val="20"/>
          <w:lang w:val="en-US"/>
        </w:rPr>
        <w:t xml:space="preserve"> </w:t>
      </w:r>
    </w:p>
    <w:p w:rsidR="00F13E21" w:rsidRPr="008B5716" w:rsidRDefault="00F13E21" w:rsidP="00F13E21">
      <w:pPr>
        <w:rPr>
          <w:rFonts w:ascii="Times New Roman" w:hAnsi="Times New Roman"/>
          <w:b/>
          <w:sz w:val="16"/>
          <w:szCs w:val="16"/>
        </w:rPr>
      </w:pPr>
      <w:r w:rsidRPr="008B5716">
        <w:rPr>
          <w:rFonts w:ascii="Times New Roman" w:hAnsi="Times New Roman"/>
          <w:b/>
          <w:sz w:val="16"/>
          <w:szCs w:val="16"/>
        </w:rPr>
        <w:t>References:</w:t>
      </w:r>
    </w:p>
    <w:p w:rsidR="00BD7C10" w:rsidRPr="008B5716" w:rsidRDefault="00BD7C10" w:rsidP="00BD7C10">
      <w:pPr>
        <w:rPr>
          <w:rFonts w:ascii="Times New Roman" w:hAnsi="Times New Roman"/>
          <w:sz w:val="16"/>
          <w:szCs w:val="16"/>
          <w:lang w:val="en-US"/>
        </w:rPr>
      </w:pPr>
      <w:r w:rsidRPr="008B5716">
        <w:rPr>
          <w:rFonts w:ascii="Times New Roman" w:hAnsi="Times New Roman"/>
          <w:sz w:val="16"/>
          <w:szCs w:val="16"/>
        </w:rPr>
        <w:t xml:space="preserve">Gennemgang af 8 referencer vedr. tetrachlorethylens neurotoksicitet samt konklusion. </w:t>
      </w:r>
      <w:r w:rsidRPr="008B5716">
        <w:rPr>
          <w:rFonts w:ascii="Times New Roman" w:hAnsi="Times New Roman"/>
          <w:sz w:val="16"/>
          <w:szCs w:val="16"/>
          <w:lang w:val="en-US"/>
        </w:rPr>
        <w:t>Afdeling for Toksikologi og Risikovurdering, DTU Fødevareinstituttet. 06.10.2013</w:t>
      </w:r>
    </w:p>
    <w:p w:rsidR="00BD7C10" w:rsidRDefault="00BD7C10" w:rsidP="00995B42">
      <w:pPr>
        <w:rPr>
          <w:rFonts w:ascii="Times New Roman" w:hAnsi="Times New Roman"/>
          <w:szCs w:val="20"/>
          <w:lang w:val="en-US"/>
        </w:rPr>
      </w:pPr>
    </w:p>
    <w:p w:rsidR="00EF12AA" w:rsidRDefault="006A02E6" w:rsidP="00995B42">
      <w:pPr>
        <w:rPr>
          <w:rFonts w:ascii="Times New Roman" w:hAnsi="Times New Roman"/>
          <w:szCs w:val="20"/>
          <w:lang w:val="en-US"/>
        </w:rPr>
      </w:pPr>
      <w:r>
        <w:rPr>
          <w:rFonts w:ascii="Times New Roman" w:hAnsi="Times New Roman"/>
          <w:szCs w:val="20"/>
          <w:lang w:val="en-US"/>
        </w:rPr>
        <w:t xml:space="preserve">However </w:t>
      </w:r>
      <w:r w:rsidR="00C91140">
        <w:rPr>
          <w:rFonts w:ascii="Times New Roman" w:hAnsi="Times New Roman"/>
          <w:szCs w:val="20"/>
          <w:lang w:val="en-US"/>
        </w:rPr>
        <w:t xml:space="preserve">the Steering Committee for Setting Quality criteria </w:t>
      </w:r>
      <w:r w:rsidR="00CA0706">
        <w:rPr>
          <w:rFonts w:ascii="Times New Roman" w:hAnsi="Times New Roman"/>
          <w:szCs w:val="20"/>
          <w:lang w:val="en-US"/>
        </w:rPr>
        <w:t>argued</w:t>
      </w:r>
      <w:r w:rsidR="00C91140">
        <w:rPr>
          <w:rFonts w:ascii="Times New Roman" w:hAnsi="Times New Roman"/>
          <w:szCs w:val="20"/>
          <w:lang w:val="en-US"/>
        </w:rPr>
        <w:t xml:space="preserve"> that</w:t>
      </w:r>
      <w:r w:rsidR="00711699">
        <w:rPr>
          <w:rFonts w:ascii="Times New Roman" w:hAnsi="Times New Roman"/>
          <w:szCs w:val="20"/>
          <w:lang w:val="en-US"/>
        </w:rPr>
        <w:t xml:space="preserve"> there</w:t>
      </w:r>
      <w:r w:rsidR="00C91140">
        <w:rPr>
          <w:rFonts w:ascii="Times New Roman" w:hAnsi="Times New Roman"/>
          <w:szCs w:val="20"/>
          <w:lang w:val="en-US"/>
        </w:rPr>
        <w:t xml:space="preserve"> still</w:t>
      </w:r>
      <w:r w:rsidR="00711699">
        <w:rPr>
          <w:rFonts w:ascii="Times New Roman" w:hAnsi="Times New Roman"/>
          <w:szCs w:val="20"/>
          <w:lang w:val="en-US"/>
        </w:rPr>
        <w:t xml:space="preserve"> </w:t>
      </w:r>
      <w:r w:rsidR="00EA7C08">
        <w:rPr>
          <w:rFonts w:ascii="Times New Roman" w:hAnsi="Times New Roman"/>
          <w:szCs w:val="20"/>
          <w:lang w:val="en-US"/>
        </w:rPr>
        <w:t>are</w:t>
      </w:r>
      <w:r w:rsidR="00711699">
        <w:rPr>
          <w:rFonts w:ascii="Times New Roman" w:hAnsi="Times New Roman"/>
          <w:szCs w:val="20"/>
          <w:lang w:val="en-US"/>
        </w:rPr>
        <w:t xml:space="preserve"> inconclusive concerns about the </w:t>
      </w:r>
      <w:r w:rsidR="00C91A6E">
        <w:rPr>
          <w:rFonts w:ascii="Times New Roman" w:hAnsi="Times New Roman"/>
          <w:szCs w:val="20"/>
          <w:lang w:val="en-US"/>
        </w:rPr>
        <w:t xml:space="preserve">mentioned </w:t>
      </w:r>
      <w:r w:rsidR="00711699">
        <w:rPr>
          <w:rFonts w:ascii="Times New Roman" w:hAnsi="Times New Roman"/>
          <w:szCs w:val="20"/>
          <w:lang w:val="en-US"/>
        </w:rPr>
        <w:t>neurotoxicity of tetrachloroethylene</w:t>
      </w:r>
      <w:r w:rsidR="00C91A6E">
        <w:rPr>
          <w:rFonts w:ascii="Times New Roman" w:hAnsi="Times New Roman"/>
          <w:szCs w:val="20"/>
          <w:lang w:val="en-US"/>
        </w:rPr>
        <w:t xml:space="preserve"> and </w:t>
      </w:r>
      <w:r w:rsidR="00422083">
        <w:rPr>
          <w:rFonts w:ascii="Times New Roman" w:hAnsi="Times New Roman"/>
          <w:szCs w:val="20"/>
          <w:lang w:val="en-US"/>
        </w:rPr>
        <w:t>that</w:t>
      </w:r>
      <w:r w:rsidR="00C91A6E">
        <w:rPr>
          <w:rFonts w:ascii="Times New Roman" w:hAnsi="Times New Roman"/>
          <w:szCs w:val="20"/>
          <w:lang w:val="en-US"/>
        </w:rPr>
        <w:t xml:space="preserve"> robust data on this is lacking</w:t>
      </w:r>
      <w:r w:rsidR="00EF12AA">
        <w:rPr>
          <w:rFonts w:ascii="Times New Roman" w:hAnsi="Times New Roman"/>
          <w:szCs w:val="20"/>
          <w:lang w:val="en-US"/>
        </w:rPr>
        <w:t>.</w:t>
      </w:r>
      <w:r w:rsidR="00D025BA">
        <w:rPr>
          <w:rFonts w:ascii="Times New Roman" w:hAnsi="Times New Roman"/>
          <w:szCs w:val="20"/>
          <w:lang w:val="en-US"/>
        </w:rPr>
        <w:t xml:space="preserve"> </w:t>
      </w:r>
    </w:p>
    <w:p w:rsidR="00EF12AA" w:rsidRDefault="00EF12AA" w:rsidP="00995B42">
      <w:pPr>
        <w:rPr>
          <w:rFonts w:ascii="Times New Roman" w:hAnsi="Times New Roman"/>
          <w:szCs w:val="20"/>
          <w:lang w:val="en-US"/>
        </w:rPr>
      </w:pPr>
    </w:p>
    <w:p w:rsidR="00A02CFA" w:rsidRPr="00A02CFA" w:rsidRDefault="00A02CFA" w:rsidP="00A02CFA">
      <w:pPr>
        <w:tabs>
          <w:tab w:val="left" w:pos="2268"/>
        </w:tabs>
        <w:rPr>
          <w:rFonts w:ascii="Times New Roman" w:hAnsi="Times New Roman"/>
          <w:b/>
          <w:sz w:val="22"/>
          <w:szCs w:val="22"/>
          <w:lang w:val="en-GB"/>
        </w:rPr>
      </w:pPr>
      <w:r w:rsidRPr="00A02CFA">
        <w:rPr>
          <w:rFonts w:ascii="Times New Roman" w:hAnsi="Times New Roman"/>
          <w:b/>
          <w:sz w:val="22"/>
          <w:szCs w:val="22"/>
          <w:lang w:val="en-GB"/>
        </w:rPr>
        <w:t>Conclusion:</w:t>
      </w:r>
    </w:p>
    <w:p w:rsidR="00995B42" w:rsidRDefault="00653F14" w:rsidP="00995B42">
      <w:pPr>
        <w:rPr>
          <w:rFonts w:ascii="Times New Roman" w:hAnsi="Times New Roman"/>
          <w:szCs w:val="20"/>
          <w:lang w:val="en-US"/>
        </w:rPr>
      </w:pPr>
      <w:r>
        <w:rPr>
          <w:rFonts w:ascii="Times New Roman" w:hAnsi="Times New Roman"/>
          <w:szCs w:val="20"/>
          <w:lang w:val="en-US"/>
        </w:rPr>
        <w:t>T</w:t>
      </w:r>
      <w:r w:rsidR="00711699">
        <w:rPr>
          <w:rFonts w:ascii="Times New Roman" w:hAnsi="Times New Roman"/>
          <w:szCs w:val="20"/>
          <w:lang w:val="en-US"/>
        </w:rPr>
        <w:t xml:space="preserve">he C-value </w:t>
      </w:r>
      <w:r w:rsidR="00EF12AA">
        <w:rPr>
          <w:rFonts w:ascii="Times New Roman" w:hAnsi="Times New Roman"/>
          <w:szCs w:val="20"/>
          <w:lang w:val="en-US"/>
        </w:rPr>
        <w:t>at 0</w:t>
      </w:r>
      <w:r w:rsidR="00EA7C08">
        <w:rPr>
          <w:rFonts w:ascii="Times New Roman" w:hAnsi="Times New Roman"/>
          <w:szCs w:val="20"/>
          <w:lang w:val="en-US"/>
        </w:rPr>
        <w:t>.</w:t>
      </w:r>
      <w:r w:rsidR="00EF12AA">
        <w:rPr>
          <w:rFonts w:ascii="Times New Roman" w:hAnsi="Times New Roman"/>
          <w:szCs w:val="20"/>
          <w:lang w:val="en-US"/>
        </w:rPr>
        <w:t>01 mg/m</w:t>
      </w:r>
      <w:r w:rsidR="00EF12AA" w:rsidRPr="00EF12AA">
        <w:rPr>
          <w:rFonts w:ascii="Times New Roman" w:hAnsi="Times New Roman"/>
          <w:szCs w:val="20"/>
          <w:vertAlign w:val="superscript"/>
          <w:lang w:val="en-US"/>
        </w:rPr>
        <w:t>3</w:t>
      </w:r>
      <w:r w:rsidR="00711699">
        <w:rPr>
          <w:rFonts w:ascii="Times New Roman" w:hAnsi="Times New Roman"/>
          <w:szCs w:val="20"/>
          <w:lang w:val="en-US"/>
        </w:rPr>
        <w:t>, Main Group 1</w:t>
      </w:r>
      <w:r w:rsidR="00EA7C08">
        <w:rPr>
          <w:rFonts w:ascii="Times New Roman" w:hAnsi="Times New Roman"/>
          <w:szCs w:val="20"/>
          <w:lang w:val="en-US"/>
        </w:rPr>
        <w:t xml:space="preserve"> </w:t>
      </w:r>
      <w:r>
        <w:rPr>
          <w:rFonts w:ascii="Times New Roman" w:hAnsi="Times New Roman"/>
          <w:szCs w:val="20"/>
          <w:lang w:val="en-US"/>
        </w:rPr>
        <w:t xml:space="preserve">is maintained </w:t>
      </w:r>
      <w:r w:rsidR="00EA7C08">
        <w:rPr>
          <w:rFonts w:ascii="Times New Roman" w:hAnsi="Times New Roman"/>
          <w:szCs w:val="20"/>
          <w:lang w:val="en-US"/>
        </w:rPr>
        <w:t>as an administrative limit value</w:t>
      </w:r>
      <w:r>
        <w:rPr>
          <w:rFonts w:ascii="Times New Roman" w:hAnsi="Times New Roman"/>
          <w:szCs w:val="20"/>
          <w:lang w:val="en-US"/>
        </w:rPr>
        <w:t>. DEPA decides to maintain the C-value,</w:t>
      </w:r>
      <w:r w:rsidR="00711699">
        <w:rPr>
          <w:rFonts w:ascii="Times New Roman" w:hAnsi="Times New Roman"/>
          <w:szCs w:val="20"/>
          <w:lang w:val="en-US"/>
        </w:rPr>
        <w:t xml:space="preserve"> </w:t>
      </w:r>
      <w:r w:rsidR="00CC7011">
        <w:rPr>
          <w:rFonts w:ascii="Times New Roman" w:hAnsi="Times New Roman"/>
          <w:szCs w:val="20"/>
          <w:lang w:val="en-US"/>
        </w:rPr>
        <w:t>as</w:t>
      </w:r>
      <w:r w:rsidR="00711699">
        <w:rPr>
          <w:rFonts w:ascii="Times New Roman" w:hAnsi="Times New Roman"/>
          <w:szCs w:val="20"/>
          <w:lang w:val="en-US"/>
        </w:rPr>
        <w:t xml:space="preserve"> there are inconclusive concerns about the neurotoxicity of tetrachloroethylene and </w:t>
      </w:r>
      <w:r w:rsidR="00CC7011">
        <w:rPr>
          <w:rFonts w:ascii="Times New Roman" w:hAnsi="Times New Roman"/>
          <w:szCs w:val="20"/>
          <w:lang w:val="en-US"/>
        </w:rPr>
        <w:t>as</w:t>
      </w:r>
      <w:r w:rsidR="00711699">
        <w:rPr>
          <w:rFonts w:ascii="Times New Roman" w:hAnsi="Times New Roman"/>
          <w:szCs w:val="20"/>
          <w:lang w:val="en-US"/>
        </w:rPr>
        <w:t xml:space="preserve"> the data on this</w:t>
      </w:r>
      <w:r w:rsidR="00EA7C08">
        <w:rPr>
          <w:rFonts w:ascii="Times New Roman" w:hAnsi="Times New Roman"/>
          <w:szCs w:val="20"/>
          <w:lang w:val="en-US"/>
        </w:rPr>
        <w:t xml:space="preserve"> end point</w:t>
      </w:r>
      <w:r w:rsidR="00711699">
        <w:rPr>
          <w:rFonts w:ascii="Times New Roman" w:hAnsi="Times New Roman"/>
          <w:szCs w:val="20"/>
          <w:lang w:val="en-US"/>
        </w:rPr>
        <w:t xml:space="preserve"> is </w:t>
      </w:r>
      <w:r w:rsidR="00EA7C08">
        <w:rPr>
          <w:rFonts w:ascii="Times New Roman" w:hAnsi="Times New Roman"/>
          <w:szCs w:val="20"/>
          <w:lang w:val="en-US"/>
        </w:rPr>
        <w:t>doubtful at present</w:t>
      </w:r>
      <w:r w:rsidR="00E32905">
        <w:rPr>
          <w:rFonts w:ascii="Times New Roman" w:hAnsi="Times New Roman"/>
          <w:szCs w:val="20"/>
          <w:lang w:val="en-US"/>
        </w:rPr>
        <w:t xml:space="preserve"> and not sufficiently robust</w:t>
      </w:r>
      <w:r w:rsidR="00711699">
        <w:rPr>
          <w:rFonts w:ascii="Times New Roman" w:hAnsi="Times New Roman"/>
          <w:szCs w:val="20"/>
          <w:lang w:val="en-US"/>
        </w:rPr>
        <w:t xml:space="preserve">. </w:t>
      </w:r>
      <w:r w:rsidR="00E32905">
        <w:rPr>
          <w:rFonts w:ascii="Times New Roman" w:hAnsi="Times New Roman"/>
          <w:szCs w:val="20"/>
          <w:lang w:val="en-US"/>
        </w:rPr>
        <w:t xml:space="preserve">Further </w:t>
      </w:r>
      <w:r w:rsidR="00CC7011">
        <w:rPr>
          <w:rFonts w:ascii="Times New Roman" w:hAnsi="Times New Roman"/>
          <w:szCs w:val="20"/>
          <w:lang w:val="en-US"/>
        </w:rPr>
        <w:t xml:space="preserve">the fact is that </w:t>
      </w:r>
      <w:r w:rsidR="00E32905">
        <w:rPr>
          <w:rFonts w:ascii="Times New Roman" w:hAnsi="Times New Roman"/>
          <w:szCs w:val="20"/>
          <w:lang w:val="en-US"/>
        </w:rPr>
        <w:t xml:space="preserve">tetrachloroethylene is still listed as a possible carcinogen, nationally and internationally. </w:t>
      </w:r>
      <w:r w:rsidR="00EA7C08">
        <w:rPr>
          <w:rFonts w:ascii="Times New Roman" w:hAnsi="Times New Roman"/>
          <w:szCs w:val="20"/>
          <w:lang w:val="en-US"/>
        </w:rPr>
        <w:t xml:space="preserve">The </w:t>
      </w:r>
      <w:r w:rsidR="00EA7C08" w:rsidRPr="00EA7C08">
        <w:rPr>
          <w:rFonts w:ascii="Times New Roman" w:hAnsi="Times New Roman"/>
          <w:szCs w:val="20"/>
          <w:lang w:val="en-US"/>
        </w:rPr>
        <w:t>decision</w:t>
      </w:r>
      <w:r w:rsidR="00EA7C08">
        <w:rPr>
          <w:rFonts w:ascii="Times New Roman" w:hAnsi="Times New Roman"/>
          <w:szCs w:val="20"/>
          <w:lang w:val="en-US"/>
        </w:rPr>
        <w:t xml:space="preserve"> </w:t>
      </w:r>
      <w:r w:rsidR="00EA7C08" w:rsidRPr="00EA7C08">
        <w:rPr>
          <w:rFonts w:ascii="Times New Roman" w:hAnsi="Times New Roman"/>
          <w:szCs w:val="20"/>
          <w:lang w:val="en-US"/>
        </w:rPr>
        <w:t xml:space="preserve">is acknowledged by the </w:t>
      </w:r>
      <w:r w:rsidR="00EA7C08">
        <w:rPr>
          <w:rFonts w:ascii="Times New Roman" w:hAnsi="Times New Roman"/>
          <w:szCs w:val="20"/>
          <w:lang w:val="en-US"/>
        </w:rPr>
        <w:t>S</w:t>
      </w:r>
      <w:r w:rsidR="00EA7C08" w:rsidRPr="00EA7C08">
        <w:rPr>
          <w:rFonts w:ascii="Times New Roman" w:hAnsi="Times New Roman"/>
          <w:szCs w:val="20"/>
          <w:lang w:val="en-US"/>
        </w:rPr>
        <w:t xml:space="preserve">teering </w:t>
      </w:r>
      <w:r w:rsidR="00EA7C08">
        <w:rPr>
          <w:rFonts w:ascii="Times New Roman" w:hAnsi="Times New Roman"/>
          <w:szCs w:val="20"/>
          <w:lang w:val="en-US"/>
        </w:rPr>
        <w:t>C</w:t>
      </w:r>
      <w:r w:rsidR="00EA7C08" w:rsidRPr="00EA7C08">
        <w:rPr>
          <w:rFonts w:ascii="Times New Roman" w:hAnsi="Times New Roman"/>
          <w:szCs w:val="20"/>
          <w:lang w:val="en-US"/>
        </w:rPr>
        <w:t xml:space="preserve">ommittee for </w:t>
      </w:r>
      <w:r w:rsidR="00EA7C08">
        <w:rPr>
          <w:rFonts w:ascii="Times New Roman" w:hAnsi="Times New Roman"/>
          <w:szCs w:val="20"/>
          <w:lang w:val="en-US"/>
        </w:rPr>
        <w:t>S</w:t>
      </w:r>
      <w:r w:rsidR="00EA7C08" w:rsidRPr="00EA7C08">
        <w:rPr>
          <w:rFonts w:ascii="Times New Roman" w:hAnsi="Times New Roman"/>
          <w:szCs w:val="20"/>
          <w:lang w:val="en-US"/>
        </w:rPr>
        <w:t xml:space="preserve">etting </w:t>
      </w:r>
      <w:r w:rsidR="00EA7C08">
        <w:rPr>
          <w:rFonts w:ascii="Times New Roman" w:hAnsi="Times New Roman"/>
          <w:szCs w:val="20"/>
          <w:lang w:val="en-US"/>
        </w:rPr>
        <w:t>Q</w:t>
      </w:r>
      <w:r w:rsidR="00EA7C08" w:rsidRPr="00EA7C08">
        <w:rPr>
          <w:rFonts w:ascii="Times New Roman" w:hAnsi="Times New Roman"/>
          <w:szCs w:val="20"/>
          <w:lang w:val="en-US"/>
        </w:rPr>
        <w:t>uality criteria</w:t>
      </w:r>
      <w:r w:rsidR="00EA7C08">
        <w:rPr>
          <w:rFonts w:ascii="Times New Roman" w:hAnsi="Times New Roman"/>
          <w:szCs w:val="20"/>
          <w:lang w:val="en-US"/>
        </w:rPr>
        <w:t>.</w:t>
      </w:r>
    </w:p>
    <w:p w:rsidR="00EA7C08" w:rsidRDefault="00EA7C08" w:rsidP="00995B42">
      <w:pPr>
        <w:rPr>
          <w:rFonts w:ascii="Times New Roman" w:hAnsi="Times New Roman"/>
          <w:szCs w:val="20"/>
          <w:lang w:val="en-US"/>
        </w:rPr>
      </w:pPr>
    </w:p>
    <w:p w:rsidR="00EA7C08" w:rsidRPr="00EA7C08" w:rsidRDefault="00EA7C08" w:rsidP="00995B42">
      <w:pPr>
        <w:rPr>
          <w:rFonts w:ascii="Times New Roman" w:hAnsi="Times New Roman"/>
          <w:szCs w:val="20"/>
          <w:lang w:val="en-GB"/>
        </w:rPr>
      </w:pPr>
    </w:p>
    <w:p w:rsidR="003D5C05" w:rsidRDefault="003D5C05" w:rsidP="00995B42">
      <w:pPr>
        <w:rPr>
          <w:rFonts w:ascii="Times New Roman" w:hAnsi="Times New Roman"/>
          <w:szCs w:val="20"/>
          <w:lang w:val="en-US"/>
        </w:rPr>
      </w:pPr>
    </w:p>
    <w:p w:rsidR="00FB0C81" w:rsidRPr="008B5716" w:rsidRDefault="00FB0C81">
      <w:pPr>
        <w:rPr>
          <w:rFonts w:ascii="Times New Roman" w:hAnsi="Times New Roman"/>
          <w:szCs w:val="20"/>
          <w:lang w:val="en-US"/>
        </w:rPr>
      </w:pPr>
    </w:p>
    <w:sectPr w:rsidR="00FB0C81" w:rsidRPr="008B5716" w:rsidSect="00866F36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2041" w:right="3175" w:bottom="680" w:left="1418" w:header="35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CA" w:rsidRDefault="00B465CA">
      <w:r>
        <w:separator/>
      </w:r>
    </w:p>
  </w:endnote>
  <w:endnote w:type="continuationSeparator" w:id="0">
    <w:p w:rsidR="00B465CA" w:rsidRDefault="00B4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61" w:rsidRDefault="0021116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211161" w:rsidRDefault="0021116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61" w:rsidRPr="00F50480" w:rsidRDefault="00211161" w:rsidP="00F50480">
    <w:pPr>
      <w:jc w:val="right"/>
    </w:pPr>
    <w:r w:rsidRPr="00F50480">
      <w:fldChar w:fldCharType="begin"/>
    </w:r>
    <w:r w:rsidRPr="00F50480">
      <w:instrText xml:space="preserve"> PAGE </w:instrText>
    </w:r>
    <w:r w:rsidRPr="00F50480">
      <w:fldChar w:fldCharType="separate"/>
    </w:r>
    <w:r w:rsidR="0099448C">
      <w:rPr>
        <w:noProof/>
      </w:rPr>
      <w:t>2</w:t>
    </w:r>
    <w:r w:rsidRPr="00F5048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CA" w:rsidRDefault="00B465CA">
      <w:r>
        <w:separator/>
      </w:r>
    </w:p>
  </w:footnote>
  <w:footnote w:type="continuationSeparator" w:id="0">
    <w:p w:rsidR="00B465CA" w:rsidRDefault="00B46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61" w:rsidRDefault="00211161">
    <w:pPr>
      <w:pStyle w:val="Sidehove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61" w:rsidRPr="0047542D" w:rsidRDefault="00866F36">
    <w:pPr>
      <w:pStyle w:val="Sidehoved"/>
      <w:spacing w:line="760" w:lineRule="exact"/>
      <w:rPr>
        <w:rFonts w:cs="Arial"/>
        <w:b/>
      </w:rPr>
    </w:pPr>
    <w:bookmarkStart w:id="16" w:name="Notat"/>
    <w:r>
      <w:rPr>
        <w:rFonts w:cs="Arial"/>
        <w:b/>
        <w:noProof/>
      </w:rPr>
      <w:drawing>
        <wp:anchor distT="0" distB="0" distL="114300" distR="114300" simplePos="0" relativeHeight="251658240" behindDoc="0" locked="0" layoutInCell="1" allowOverlap="1" wp14:anchorId="25B4DF5D" wp14:editId="26E9A8F6">
          <wp:simplePos x="0" y="0"/>
          <wp:positionH relativeFrom="page">
            <wp:posOffset>4993005</wp:posOffset>
          </wp:positionH>
          <wp:positionV relativeFrom="page">
            <wp:posOffset>518160</wp:posOffset>
          </wp:positionV>
          <wp:extent cx="1514475" cy="619125"/>
          <wp:effectExtent l="0" t="0" r="9525" b="952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161" w:rsidRPr="0047542D">
      <w:rPr>
        <w:rFonts w:cs="Arial"/>
        <w:b/>
      </w:rPr>
      <w:t>NOTAT</w:t>
    </w:r>
    <w:bookmarkEnd w:id="16"/>
    <w:r w:rsidR="00211161" w:rsidRPr="0047542D">
      <w:rPr>
        <w:rFonts w:cs="Arial"/>
        <w:b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1304"/>
  <w:hyphenationZone w:val="420"/>
  <w:doNotHyphenateCaps/>
  <w:drawingGridHorizont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36"/>
    <w:rsid w:val="0002517A"/>
    <w:rsid w:val="000C56AA"/>
    <w:rsid w:val="001175B8"/>
    <w:rsid w:val="00152826"/>
    <w:rsid w:val="001765B3"/>
    <w:rsid w:val="0018241E"/>
    <w:rsid w:val="00184D2D"/>
    <w:rsid w:val="0019004C"/>
    <w:rsid w:val="001B0C3F"/>
    <w:rsid w:val="002024AA"/>
    <w:rsid w:val="00211161"/>
    <w:rsid w:val="00213CB1"/>
    <w:rsid w:val="00214215"/>
    <w:rsid w:val="0024503D"/>
    <w:rsid w:val="00251B88"/>
    <w:rsid w:val="002677C3"/>
    <w:rsid w:val="00284278"/>
    <w:rsid w:val="00286B09"/>
    <w:rsid w:val="002A49BB"/>
    <w:rsid w:val="002E119F"/>
    <w:rsid w:val="003D5C05"/>
    <w:rsid w:val="0040465F"/>
    <w:rsid w:val="00422083"/>
    <w:rsid w:val="00442E96"/>
    <w:rsid w:val="004711A6"/>
    <w:rsid w:val="004935B8"/>
    <w:rsid w:val="004A644A"/>
    <w:rsid w:val="004B3449"/>
    <w:rsid w:val="00500B31"/>
    <w:rsid w:val="005418E4"/>
    <w:rsid w:val="005723C7"/>
    <w:rsid w:val="00596D6D"/>
    <w:rsid w:val="005C6E2B"/>
    <w:rsid w:val="005E5D96"/>
    <w:rsid w:val="0063788A"/>
    <w:rsid w:val="00653F14"/>
    <w:rsid w:val="006768BA"/>
    <w:rsid w:val="006A02E6"/>
    <w:rsid w:val="006B7457"/>
    <w:rsid w:val="006E2F23"/>
    <w:rsid w:val="00711699"/>
    <w:rsid w:val="00744B5A"/>
    <w:rsid w:val="00786335"/>
    <w:rsid w:val="00804B19"/>
    <w:rsid w:val="00843272"/>
    <w:rsid w:val="00866F36"/>
    <w:rsid w:val="008A1B56"/>
    <w:rsid w:val="008B5716"/>
    <w:rsid w:val="008E694A"/>
    <w:rsid w:val="00956282"/>
    <w:rsid w:val="0099448C"/>
    <w:rsid w:val="00995B42"/>
    <w:rsid w:val="009A6E01"/>
    <w:rsid w:val="00A02CFA"/>
    <w:rsid w:val="00AA5BB9"/>
    <w:rsid w:val="00AC740F"/>
    <w:rsid w:val="00AD7BBC"/>
    <w:rsid w:val="00AE7107"/>
    <w:rsid w:val="00B30010"/>
    <w:rsid w:val="00B465CA"/>
    <w:rsid w:val="00B7739F"/>
    <w:rsid w:val="00BD7C10"/>
    <w:rsid w:val="00C07762"/>
    <w:rsid w:val="00C42D7E"/>
    <w:rsid w:val="00C53061"/>
    <w:rsid w:val="00C91140"/>
    <w:rsid w:val="00C91A6E"/>
    <w:rsid w:val="00CA0706"/>
    <w:rsid w:val="00CC7011"/>
    <w:rsid w:val="00D025BA"/>
    <w:rsid w:val="00D22665"/>
    <w:rsid w:val="00D603CF"/>
    <w:rsid w:val="00D60F04"/>
    <w:rsid w:val="00D905C1"/>
    <w:rsid w:val="00DB6F56"/>
    <w:rsid w:val="00DE3A81"/>
    <w:rsid w:val="00E040B8"/>
    <w:rsid w:val="00E22933"/>
    <w:rsid w:val="00E24C4A"/>
    <w:rsid w:val="00E32905"/>
    <w:rsid w:val="00EA5D31"/>
    <w:rsid w:val="00EA7C08"/>
    <w:rsid w:val="00EF12AA"/>
    <w:rsid w:val="00F02C25"/>
    <w:rsid w:val="00F11E05"/>
    <w:rsid w:val="00F13E21"/>
    <w:rsid w:val="00F20079"/>
    <w:rsid w:val="00F50480"/>
    <w:rsid w:val="00F91E77"/>
    <w:rsid w:val="00FB0C81"/>
    <w:rsid w:val="00FD0891"/>
    <w:rsid w:val="00F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4C8354-2CA5-43E0-BDED-C4B9E426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78"/>
    <w:pPr>
      <w:suppressAutoHyphens/>
      <w:spacing w:line="260" w:lineRule="atLeas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qFormat/>
    <w:rsid w:val="00284278"/>
    <w:pPr>
      <w:keepNext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84278"/>
    <w:pPr>
      <w:tabs>
        <w:tab w:val="center" w:pos="4819"/>
        <w:tab w:val="right" w:pos="9638"/>
      </w:tabs>
      <w:spacing w:line="168" w:lineRule="atLeast"/>
    </w:pPr>
    <w:rPr>
      <w:sz w:val="14"/>
    </w:rPr>
  </w:style>
  <w:style w:type="character" w:styleId="Sidetal">
    <w:name w:val="page number"/>
    <w:basedOn w:val="Standardskrifttypeiafsnit"/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klarendeTekst">
    <w:name w:val="ForklarendeTekst"/>
    <w:rsid w:val="00284278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rsid w:val="00284278"/>
    <w:rPr>
      <w:i/>
      <w:color w:val="FF0000"/>
    </w:rPr>
  </w:style>
  <w:style w:type="character" w:styleId="Fodnotehenvisning">
    <w:name w:val="footnote reference"/>
    <w:basedOn w:val="Standardskrifttypeiafsnit"/>
    <w:rsid w:val="00866F36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866F36"/>
    <w:pPr>
      <w:suppressAutoHyphens w:val="0"/>
      <w:spacing w:line="240" w:lineRule="auto"/>
    </w:pPr>
    <w:rPr>
      <w:rFonts w:ascii="Times New Roman" w:hAnsi="Times New Roman"/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866F36"/>
    <w:rPr>
      <w:sz w:val="18"/>
    </w:rPr>
  </w:style>
  <w:style w:type="paragraph" w:customStyle="1" w:styleId="Default">
    <w:name w:val="Default"/>
    <w:rsid w:val="00866F36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character" w:customStyle="1" w:styleId="hps">
    <w:name w:val="hps"/>
    <w:basedOn w:val="Standardskrifttypeiafsnit"/>
    <w:rsid w:val="00EF12AA"/>
  </w:style>
  <w:style w:type="paragraph" w:styleId="Markeringsbobletekst">
    <w:name w:val="Balloon Text"/>
    <w:basedOn w:val="Normal"/>
    <w:link w:val="MarkeringsbobletekstTegn"/>
    <w:rsid w:val="00C911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91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\AppData\Local\Milj&#248;ministeriet\Skabeloner\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1</TotalTime>
  <Pages>3</Pages>
  <Words>447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>Miljøministeriet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Jette Rud Larsen Heltved</dc:creator>
  <cp:lastModifiedBy>Tina Wissendorff</cp:lastModifiedBy>
  <cp:revision>2</cp:revision>
  <cp:lastPrinted>2014-03-28T10:29:00Z</cp:lastPrinted>
  <dcterms:created xsi:type="dcterms:W3CDTF">2023-06-12T10:58:00Z</dcterms:created>
  <dcterms:modified xsi:type="dcterms:W3CDTF">2023-06-12T10:58:00Z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Notat</vt:lpwstr>
  </property>
  <property fmtid="{D5CDD505-2E9C-101B-9397-08002B2CF9AE}" pid="4" name="KC_DocType">
    <vt:lpwstr>Interne skabeloner</vt:lpwstr>
  </property>
  <property fmtid="{D5CDD505-2E9C-101B-9397-08002B2CF9AE}" pid="5" name="KC_DocSubType">
    <vt:lpwstr>Notat</vt:lpwstr>
  </property>
</Properties>
</file>