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92" w:type="dxa"/>
        <w:tblInd w:w="-57" w:type="dxa"/>
        <w:tblLayout w:type="fixed"/>
        <w:tblCellMar>
          <w:left w:w="28" w:type="dxa"/>
          <w:right w:w="0" w:type="dxa"/>
        </w:tblCellMar>
        <w:tblLook w:val="01E0" w:firstRow="1" w:lastRow="1" w:firstColumn="1" w:lastColumn="1" w:noHBand="0" w:noVBand="0"/>
      </w:tblPr>
      <w:tblGrid>
        <w:gridCol w:w="7337"/>
        <w:gridCol w:w="2755"/>
      </w:tblGrid>
      <w:tr w:rsidR="004D6645" w:rsidRPr="008708AB" w14:paraId="46CED3BE" w14:textId="77777777" w:rsidTr="00C5483B">
        <w:trPr>
          <w:cantSplit/>
          <w:trHeight w:hRule="exact" w:val="3175"/>
        </w:trPr>
        <w:tc>
          <w:tcPr>
            <w:tcW w:w="7337" w:type="dxa"/>
            <w:tcMar>
              <w:left w:w="0" w:type="dxa"/>
            </w:tcMar>
          </w:tcPr>
          <w:p w14:paraId="08793C0E" w14:textId="77777777" w:rsidR="004D6645" w:rsidRPr="00C5483B" w:rsidRDefault="004D6645" w:rsidP="00CB013A">
            <w:pPr>
              <w:rPr>
                <w:rFonts w:cs="Arial"/>
                <w:szCs w:val="22"/>
              </w:rPr>
            </w:pPr>
            <w:bookmarkStart w:id="0" w:name="_GoBack"/>
            <w:bookmarkEnd w:id="0"/>
            <w:r w:rsidRPr="00C5483B">
              <w:rPr>
                <w:rFonts w:cs="Arial"/>
                <w:szCs w:val="22"/>
              </w:rPr>
              <w:t xml:space="preserve"> </w:t>
            </w:r>
            <w:bookmarkStart w:id="1" w:name="NavnET"/>
            <w:bookmarkStart w:id="2" w:name="Title"/>
            <w:bookmarkStart w:id="3" w:name="Firma"/>
            <w:bookmarkEnd w:id="1"/>
            <w:bookmarkEnd w:id="2"/>
            <w:bookmarkEnd w:id="3"/>
            <w:r w:rsidRPr="00C5483B">
              <w:rPr>
                <w:rFonts w:cs="Arial"/>
                <w:szCs w:val="22"/>
              </w:rPr>
              <w:t xml:space="preserve"> </w:t>
            </w:r>
            <w:bookmarkStart w:id="4" w:name="NavnTO"/>
            <w:bookmarkEnd w:id="4"/>
          </w:p>
          <w:p w14:paraId="2E018BAD" w14:textId="77777777" w:rsidR="004D6645" w:rsidRPr="00C5483B" w:rsidRDefault="004D6645" w:rsidP="00CB013A">
            <w:pPr>
              <w:rPr>
                <w:rFonts w:cs="Arial"/>
                <w:szCs w:val="22"/>
              </w:rPr>
            </w:pPr>
            <w:r w:rsidRPr="00C5483B">
              <w:rPr>
                <w:rFonts w:cs="Arial"/>
                <w:szCs w:val="22"/>
              </w:rPr>
              <w:t xml:space="preserve"> </w:t>
            </w:r>
            <w:bookmarkStart w:id="5" w:name="adresseET"/>
            <w:bookmarkEnd w:id="5"/>
            <w:r w:rsidRPr="00C5483B">
              <w:rPr>
                <w:rFonts w:cs="Arial"/>
                <w:szCs w:val="22"/>
              </w:rPr>
              <w:t xml:space="preserve"> </w:t>
            </w:r>
            <w:bookmarkStart w:id="6" w:name="AdresseTO"/>
            <w:bookmarkEnd w:id="6"/>
            <w:r w:rsidRPr="00C5483B">
              <w:rPr>
                <w:rFonts w:cs="Arial"/>
                <w:szCs w:val="22"/>
              </w:rPr>
              <w:t xml:space="preserve"> </w:t>
            </w:r>
            <w:bookmarkStart w:id="7" w:name="AdresseTRE"/>
            <w:bookmarkEnd w:id="7"/>
          </w:p>
          <w:p w14:paraId="0C58343B" w14:textId="77777777" w:rsidR="004D6645" w:rsidRPr="008F65DE" w:rsidRDefault="004D6645" w:rsidP="008F65DE">
            <w:pPr>
              <w:tabs>
                <w:tab w:val="left" w:pos="6511"/>
              </w:tabs>
              <w:jc w:val="right"/>
              <w:rPr>
                <w:rFonts w:cs="Arial"/>
                <w:i/>
                <w:szCs w:val="22"/>
              </w:rPr>
            </w:pPr>
            <w:r w:rsidRPr="00C5483B">
              <w:rPr>
                <w:rFonts w:cs="Arial"/>
                <w:szCs w:val="22"/>
              </w:rPr>
              <w:t xml:space="preserve"> </w:t>
            </w:r>
            <w:bookmarkStart w:id="8" w:name="postnr"/>
            <w:bookmarkEnd w:id="8"/>
            <w:r w:rsidRPr="00C5483B">
              <w:rPr>
                <w:rFonts w:cs="Arial"/>
                <w:szCs w:val="22"/>
              </w:rPr>
              <w:t xml:space="preserve"> </w:t>
            </w:r>
            <w:bookmarkStart w:id="9" w:name="by"/>
            <w:bookmarkEnd w:id="9"/>
            <w:r w:rsidR="008F65DE" w:rsidRPr="008F65DE">
              <w:rPr>
                <w:rFonts w:cs="Arial"/>
                <w:i/>
                <w:szCs w:val="22"/>
              </w:rPr>
              <w:t>Version 2</w:t>
            </w:r>
            <w:r w:rsidR="008F65DE">
              <w:rPr>
                <w:rStyle w:val="Fodnotehenvisning"/>
                <w:rFonts w:cs="Arial"/>
                <w:i/>
                <w:szCs w:val="22"/>
              </w:rPr>
              <w:footnoteReference w:id="1"/>
            </w:r>
          </w:p>
          <w:p w14:paraId="2ED880BE" w14:textId="77777777" w:rsidR="00EF3505" w:rsidRPr="00C5483B" w:rsidRDefault="004D6645" w:rsidP="00C5483B">
            <w:pPr>
              <w:jc w:val="both"/>
              <w:rPr>
                <w:b/>
              </w:rPr>
            </w:pPr>
            <w:r w:rsidRPr="00C5483B">
              <w:rPr>
                <w:rFonts w:cs="Arial"/>
                <w:szCs w:val="22"/>
              </w:rPr>
              <w:t xml:space="preserve"> </w:t>
            </w:r>
            <w:bookmarkStart w:id="10" w:name="land"/>
            <w:bookmarkEnd w:id="10"/>
            <w:r w:rsidR="00D80B14" w:rsidRPr="00C5483B">
              <w:rPr>
                <w:rFonts w:cs="Arial"/>
                <w:b/>
                <w:szCs w:val="22"/>
              </w:rPr>
              <w:t>BREV</w:t>
            </w:r>
          </w:p>
          <w:p w14:paraId="42CFD389" w14:textId="77777777" w:rsidR="004D6645" w:rsidRPr="00C5483B" w:rsidRDefault="004D6645" w:rsidP="00CB013A">
            <w:pPr>
              <w:rPr>
                <w:rFonts w:cs="Arial"/>
                <w:szCs w:val="22"/>
              </w:rPr>
            </w:pPr>
          </w:p>
          <w:p w14:paraId="39F318CB" w14:textId="77777777" w:rsidR="00CF4BFA" w:rsidRPr="00C5483B" w:rsidRDefault="00CF4BFA" w:rsidP="00CB013A">
            <w:pPr>
              <w:rPr>
                <w:rFonts w:cs="Arial"/>
                <w:szCs w:val="22"/>
              </w:rPr>
            </w:pPr>
          </w:p>
        </w:tc>
        <w:tc>
          <w:tcPr>
            <w:tcW w:w="2755" w:type="dxa"/>
            <w:tcMar>
              <w:top w:w="34" w:type="dxa"/>
              <w:left w:w="0" w:type="dxa"/>
              <w:bottom w:w="28" w:type="dxa"/>
            </w:tcMar>
          </w:tcPr>
          <w:p w14:paraId="3E0AFE69" w14:textId="77777777" w:rsidR="004D6645" w:rsidRPr="008708AB" w:rsidRDefault="004D6645" w:rsidP="00646C61">
            <w:bookmarkStart w:id="11" w:name="sagsnr"/>
            <w:bookmarkEnd w:id="11"/>
          </w:p>
        </w:tc>
      </w:tr>
    </w:tbl>
    <w:p w14:paraId="079DF273" w14:textId="77777777" w:rsidR="008708AB" w:rsidRPr="009C3E36" w:rsidRDefault="00086489" w:rsidP="008708AB">
      <w:pPr>
        <w:jc w:val="both"/>
        <w:rPr>
          <w:b/>
          <w:i/>
        </w:rPr>
      </w:pPr>
      <w:r>
        <w:rPr>
          <w:b/>
          <w:i/>
        </w:rPr>
        <w:t>Anbefalinger vedr. dokumentation iht. risikobekendtgørelsen</w:t>
      </w:r>
    </w:p>
    <w:p w14:paraId="516AD1C2" w14:textId="77777777" w:rsidR="00014D05" w:rsidRDefault="00886FDD" w:rsidP="00D27001">
      <w:pPr>
        <w:jc w:val="both"/>
        <w:rPr>
          <w:iCs/>
          <w:szCs w:val="22"/>
        </w:rPr>
      </w:pPr>
      <w:r>
        <w:rPr>
          <w:iCs/>
          <w:szCs w:val="22"/>
        </w:rPr>
        <w:t xml:space="preserve">Dette </w:t>
      </w:r>
      <w:r w:rsidR="00086489">
        <w:rPr>
          <w:iCs/>
          <w:szCs w:val="22"/>
        </w:rPr>
        <w:t xml:space="preserve">brev </w:t>
      </w:r>
      <w:r>
        <w:rPr>
          <w:iCs/>
          <w:szCs w:val="22"/>
        </w:rPr>
        <w:t xml:space="preserve">indeholder en beskrivelse af opbygning af sikkerhedsdokumentationen, dvs. sikkerhedsdokument (kolonne 2) eller sikkerhedsrapport (kolonne 3), og af hvilke analyser og beregninger </w:t>
      </w:r>
      <w:r w:rsidR="00F66500">
        <w:rPr>
          <w:iCs/>
          <w:szCs w:val="22"/>
        </w:rPr>
        <w:t xml:space="preserve">dokumentationen </w:t>
      </w:r>
      <w:r>
        <w:rPr>
          <w:iCs/>
          <w:szCs w:val="22"/>
        </w:rPr>
        <w:t>bør indeholde.</w:t>
      </w:r>
      <w:r w:rsidRPr="00C579D0">
        <w:rPr>
          <w:szCs w:val="22"/>
        </w:rPr>
        <w:t xml:space="preserve"> </w:t>
      </w:r>
      <w:r w:rsidR="00A043A1">
        <w:rPr>
          <w:szCs w:val="22"/>
        </w:rPr>
        <w:t>Formålet er at</w:t>
      </w:r>
      <w:r w:rsidR="00472859">
        <w:rPr>
          <w:szCs w:val="22"/>
        </w:rPr>
        <w:t xml:space="preserve"> give virksomheden et grundlag, som supplerer </w:t>
      </w:r>
      <w:r w:rsidR="00BB4B16">
        <w:rPr>
          <w:szCs w:val="22"/>
        </w:rPr>
        <w:t>Miljøstyrelsens risikohåndbog og vejledninger</w:t>
      </w:r>
      <w:r w:rsidR="00472859">
        <w:rPr>
          <w:szCs w:val="22"/>
        </w:rPr>
        <w:t>.</w:t>
      </w:r>
      <w:r w:rsidR="00014D05">
        <w:rPr>
          <w:szCs w:val="22"/>
        </w:rPr>
        <w:t xml:space="preserve"> </w:t>
      </w:r>
      <w:r w:rsidR="00D27001" w:rsidRPr="00014D05">
        <w:rPr>
          <w:iCs/>
          <w:szCs w:val="22"/>
        </w:rPr>
        <w:t xml:space="preserve">Anbefalingerne </w:t>
      </w:r>
      <w:r w:rsidR="00014D05" w:rsidRPr="00014D05">
        <w:rPr>
          <w:iCs/>
          <w:szCs w:val="22"/>
        </w:rPr>
        <w:t>er udarbejdet af Miljøstyrelsen og</w:t>
      </w:r>
      <w:r w:rsidR="00D27001" w:rsidRPr="00014D05">
        <w:rPr>
          <w:iCs/>
          <w:szCs w:val="22"/>
        </w:rPr>
        <w:t xml:space="preserve"> Beredskabsstyrelsen </w:t>
      </w:r>
      <w:r w:rsidR="00014D05" w:rsidRPr="00014D05">
        <w:rPr>
          <w:iCs/>
          <w:szCs w:val="22"/>
        </w:rPr>
        <w:t>[</w:t>
      </w:r>
      <w:r w:rsidR="00D27001" w:rsidRPr="00014D05">
        <w:rPr>
          <w:iCs/>
          <w:szCs w:val="22"/>
        </w:rPr>
        <w:t>og xxx</w:t>
      </w:r>
      <w:r w:rsidR="00014D05" w:rsidRPr="00014D05">
        <w:rPr>
          <w:iCs/>
          <w:szCs w:val="22"/>
        </w:rPr>
        <w:t>]</w:t>
      </w:r>
      <w:r w:rsidR="00D27001" w:rsidRPr="00014D05">
        <w:rPr>
          <w:iCs/>
          <w:szCs w:val="22"/>
        </w:rPr>
        <w:t xml:space="preserve">, og vedrører </w:t>
      </w:r>
      <w:r w:rsidR="00F66500" w:rsidRPr="00014D05">
        <w:rPr>
          <w:iCs/>
          <w:szCs w:val="22"/>
        </w:rPr>
        <w:t>myndighedernes respektive ansvarsområde</w:t>
      </w:r>
      <w:r w:rsidR="00D27001" w:rsidRPr="00014D05">
        <w:rPr>
          <w:iCs/>
          <w:szCs w:val="22"/>
        </w:rPr>
        <w:t xml:space="preserve">. </w:t>
      </w:r>
    </w:p>
    <w:p w14:paraId="09FDF139" w14:textId="77777777" w:rsidR="00D27001" w:rsidRPr="00014D05" w:rsidRDefault="00D27001" w:rsidP="00D27001">
      <w:pPr>
        <w:jc w:val="both"/>
        <w:rPr>
          <w:szCs w:val="22"/>
        </w:rPr>
      </w:pPr>
      <w:r w:rsidRPr="00014D05">
        <w:rPr>
          <w:iCs/>
          <w:szCs w:val="22"/>
        </w:rPr>
        <w:t>Vedrørende vurdering af omfang og alvor af følgerne for større uheld i forhold til ansatte og 3. person,</w:t>
      </w:r>
      <w:r w:rsidRPr="00014D05">
        <w:rPr>
          <w:szCs w:val="22"/>
        </w:rPr>
        <w:t xml:space="preserve"> der måtte opholde sig på virksomheden, henvises til Arbejdstilsynets vejledning og kvalitetsprocedure, som kan findes på hjemmesiden </w:t>
      </w:r>
      <w:hyperlink r:id="rId8" w:history="1">
        <w:r w:rsidRPr="00014D05">
          <w:rPr>
            <w:rStyle w:val="Hyperlink"/>
            <w:szCs w:val="22"/>
          </w:rPr>
          <w:t>www.at.dk</w:t>
        </w:r>
      </w:hyperlink>
      <w:r w:rsidRPr="00014D05">
        <w:rPr>
          <w:szCs w:val="22"/>
        </w:rPr>
        <w:t xml:space="preserve">. Spørgsmål vedrørende AT’s regler kan sendes til </w:t>
      </w:r>
      <w:hyperlink r:id="rId9" w:history="1">
        <w:r w:rsidRPr="00014D05">
          <w:rPr>
            <w:rStyle w:val="Hyperlink"/>
            <w:szCs w:val="22"/>
          </w:rPr>
          <w:t>at@at.dk</w:t>
        </w:r>
      </w:hyperlink>
    </w:p>
    <w:p w14:paraId="6E1BC0D7" w14:textId="77777777" w:rsidR="00D27001" w:rsidRDefault="00D27001" w:rsidP="00886FDD">
      <w:pPr>
        <w:jc w:val="both"/>
        <w:rPr>
          <w:szCs w:val="22"/>
        </w:rPr>
      </w:pPr>
    </w:p>
    <w:p w14:paraId="39C1ED98" w14:textId="77777777" w:rsidR="00886FDD" w:rsidRDefault="00886FDD" w:rsidP="00886FDD">
      <w:pPr>
        <w:jc w:val="both"/>
        <w:rPr>
          <w:iCs/>
          <w:szCs w:val="22"/>
        </w:rPr>
      </w:pPr>
      <w:r>
        <w:rPr>
          <w:szCs w:val="22"/>
        </w:rPr>
        <w:t>De</w:t>
      </w:r>
      <w:r w:rsidR="00472859">
        <w:rPr>
          <w:szCs w:val="22"/>
        </w:rPr>
        <w:t xml:space="preserve"> er</w:t>
      </w:r>
      <w:r>
        <w:rPr>
          <w:szCs w:val="22"/>
        </w:rPr>
        <w:t xml:space="preserve"> selvfølgelig velkommen til at kontakte os, hvis De har spørgsmål hvor indhold af sikkerhedsdokumentationen kan drøftes.</w:t>
      </w:r>
      <w:r w:rsidR="00737C69">
        <w:rPr>
          <w:szCs w:val="22"/>
        </w:rPr>
        <w:t xml:space="preserve"> Det er ofte nemmere at vende de enkelte dele på et møde, og vi vil derfor meget gerne deltage i et møde, hvis I ønsker det.</w:t>
      </w:r>
    </w:p>
    <w:p w14:paraId="5FC4B2DD" w14:textId="77777777" w:rsidR="00886FDD" w:rsidRDefault="00886FDD" w:rsidP="00886FDD">
      <w:pPr>
        <w:jc w:val="both"/>
        <w:rPr>
          <w:szCs w:val="22"/>
        </w:rPr>
      </w:pPr>
    </w:p>
    <w:p w14:paraId="180EAF8A" w14:textId="77777777" w:rsidR="00886FDD" w:rsidRDefault="00886FDD" w:rsidP="00D80B14">
      <w:pPr>
        <w:ind w:right="84"/>
        <w:jc w:val="both"/>
        <w:rPr>
          <w:szCs w:val="22"/>
        </w:rPr>
      </w:pPr>
      <w:r>
        <w:rPr>
          <w:szCs w:val="22"/>
        </w:rPr>
        <w:t>Se nærmere om de forskellige begreber i Miljøstyrelsens arbejdsrapport nr. 8/2008 om acceptkriterier i Danmark og EU og evt. miljøprojekt nr. 112/1989 om kvantitative og kvalitative kriterier for risikoaccept.</w:t>
      </w:r>
    </w:p>
    <w:p w14:paraId="06710027" w14:textId="77777777" w:rsidR="00886FDD" w:rsidRDefault="00886FDD" w:rsidP="00886FDD">
      <w:pPr>
        <w:ind w:right="-908"/>
        <w:jc w:val="both"/>
        <w:rPr>
          <w:szCs w:val="22"/>
        </w:rPr>
      </w:pPr>
    </w:p>
    <w:p w14:paraId="381F826E" w14:textId="77777777" w:rsidR="008708AB" w:rsidRPr="00C579D0" w:rsidRDefault="008708AB" w:rsidP="008708AB">
      <w:pPr>
        <w:jc w:val="both"/>
        <w:rPr>
          <w:iCs/>
          <w:szCs w:val="22"/>
          <w:u w:val="single"/>
        </w:rPr>
      </w:pPr>
      <w:r w:rsidRPr="00C579D0">
        <w:rPr>
          <w:iCs/>
          <w:szCs w:val="22"/>
          <w:u w:val="single"/>
        </w:rPr>
        <w:t>Opbygning af sikkerhed</w:t>
      </w:r>
      <w:r>
        <w:rPr>
          <w:iCs/>
          <w:szCs w:val="22"/>
          <w:u w:val="single"/>
        </w:rPr>
        <w:t>sdokumentationen</w:t>
      </w:r>
    </w:p>
    <w:p w14:paraId="2BDB7A86" w14:textId="77777777" w:rsidR="00886FDD" w:rsidRDefault="008708AB" w:rsidP="008708AB">
      <w:pPr>
        <w:jc w:val="both"/>
        <w:rPr>
          <w:szCs w:val="22"/>
        </w:rPr>
      </w:pPr>
      <w:r>
        <w:rPr>
          <w:iCs/>
          <w:szCs w:val="22"/>
        </w:rPr>
        <w:t>Det foreslås, at</w:t>
      </w:r>
      <w:r w:rsidRPr="006F7A9A">
        <w:rPr>
          <w:iCs/>
          <w:szCs w:val="22"/>
        </w:rPr>
        <w:t xml:space="preserve"> </w:t>
      </w:r>
      <w:r>
        <w:rPr>
          <w:iCs/>
          <w:szCs w:val="22"/>
        </w:rPr>
        <w:t>virksomheden, når den</w:t>
      </w:r>
      <w:r>
        <w:rPr>
          <w:szCs w:val="22"/>
        </w:rPr>
        <w:t xml:space="preserve"> udarbejder sikkerhedsdokument</w:t>
      </w:r>
      <w:r w:rsidR="00886FDD">
        <w:rPr>
          <w:szCs w:val="22"/>
        </w:rPr>
        <w:t>ationen</w:t>
      </w:r>
      <w:r>
        <w:rPr>
          <w:szCs w:val="22"/>
        </w:rPr>
        <w:t>, strukturerer dokumentation</w:t>
      </w:r>
      <w:r w:rsidR="00886FDD">
        <w:rPr>
          <w:szCs w:val="22"/>
        </w:rPr>
        <w:t>en</w:t>
      </w:r>
      <w:r>
        <w:rPr>
          <w:szCs w:val="22"/>
        </w:rPr>
        <w:t xml:space="preserve"> svarende til strukturen i risikobekendtgørelsens bilag </w:t>
      </w:r>
      <w:r w:rsidR="00472859">
        <w:rPr>
          <w:szCs w:val="22"/>
        </w:rPr>
        <w:t xml:space="preserve">3 eller 4. </w:t>
      </w:r>
      <w:r w:rsidR="00A043A1">
        <w:rPr>
          <w:szCs w:val="22"/>
        </w:rPr>
        <w:t xml:space="preserve">Struktur og indhold er også beskrevet i </w:t>
      </w:r>
      <w:r w:rsidR="00BB4B16">
        <w:rPr>
          <w:szCs w:val="22"/>
        </w:rPr>
        <w:t>Miljøstyrelsens risikohåndbog.</w:t>
      </w:r>
      <w:r>
        <w:rPr>
          <w:szCs w:val="22"/>
        </w:rPr>
        <w:t xml:space="preserve"> </w:t>
      </w:r>
    </w:p>
    <w:p w14:paraId="1DF821E0" w14:textId="77777777" w:rsidR="00A043A1" w:rsidRDefault="00A043A1" w:rsidP="008708AB">
      <w:pPr>
        <w:jc w:val="both"/>
        <w:rPr>
          <w:szCs w:val="22"/>
        </w:rPr>
      </w:pPr>
    </w:p>
    <w:p w14:paraId="533854E2" w14:textId="77777777" w:rsidR="00886FDD" w:rsidRDefault="00886FDD" w:rsidP="008708AB">
      <w:pPr>
        <w:jc w:val="both"/>
        <w:rPr>
          <w:szCs w:val="22"/>
        </w:rPr>
      </w:pPr>
      <w:r>
        <w:rPr>
          <w:szCs w:val="22"/>
        </w:rPr>
        <w:t>Sikkerhedsdokumentationen er grundlag for risikomyndighedernes godkendelse</w:t>
      </w:r>
      <w:r w:rsidR="00BE677B">
        <w:rPr>
          <w:szCs w:val="22"/>
        </w:rPr>
        <w:t>/accept</w:t>
      </w:r>
      <w:r>
        <w:rPr>
          <w:szCs w:val="22"/>
        </w:rPr>
        <w:t xml:space="preserve"> af virksomheden</w:t>
      </w:r>
      <w:r w:rsidR="00E45F7E">
        <w:rPr>
          <w:szCs w:val="22"/>
        </w:rPr>
        <w:t>s sikkerhedsniveau</w:t>
      </w:r>
      <w:r w:rsidR="00BE677B">
        <w:rPr>
          <w:szCs w:val="22"/>
        </w:rPr>
        <w:t>/sikkerhedsdokumen-tation</w:t>
      </w:r>
      <w:r>
        <w:rPr>
          <w:szCs w:val="22"/>
        </w:rPr>
        <w:t xml:space="preserve">. </w:t>
      </w:r>
      <w:r w:rsidR="00830420">
        <w:rPr>
          <w:szCs w:val="22"/>
        </w:rPr>
        <w:t>Grundlaget for en afgørelse skal være entydigt. Det er derfor nødvendigt</w:t>
      </w:r>
      <w:r w:rsidR="00CE1580">
        <w:rPr>
          <w:szCs w:val="22"/>
        </w:rPr>
        <w:t>,</w:t>
      </w:r>
      <w:r w:rsidR="00830420">
        <w:rPr>
          <w:szCs w:val="22"/>
        </w:rPr>
        <w:t xml:space="preserve"> at </w:t>
      </w:r>
      <w:r>
        <w:rPr>
          <w:szCs w:val="22"/>
        </w:rPr>
        <w:t>de dokumenter/filer, der indgår i dokumentationen</w:t>
      </w:r>
      <w:r w:rsidR="00CE1580">
        <w:rPr>
          <w:szCs w:val="22"/>
        </w:rPr>
        <w:t>,</w:t>
      </w:r>
      <w:r>
        <w:rPr>
          <w:szCs w:val="22"/>
        </w:rPr>
        <w:t xml:space="preserve"> k</w:t>
      </w:r>
      <w:r w:rsidR="00830420">
        <w:rPr>
          <w:szCs w:val="22"/>
        </w:rPr>
        <w:t>an</w:t>
      </w:r>
      <w:r>
        <w:rPr>
          <w:szCs w:val="22"/>
        </w:rPr>
        <w:t xml:space="preserve"> identificeres. Dette kan ske ved at forsyne dokumenterne med en versions-dato, som også bør fremgå af indholdsfortegnelse/bilagsliste.</w:t>
      </w:r>
    </w:p>
    <w:p w14:paraId="331D3905" w14:textId="77777777" w:rsidR="00830420" w:rsidRDefault="00830420" w:rsidP="008708AB">
      <w:pPr>
        <w:jc w:val="both"/>
        <w:rPr>
          <w:szCs w:val="22"/>
        </w:rPr>
      </w:pPr>
    </w:p>
    <w:p w14:paraId="03214345" w14:textId="77777777" w:rsidR="00BE677B" w:rsidRDefault="00830420" w:rsidP="008708AB">
      <w:pPr>
        <w:jc w:val="both"/>
        <w:rPr>
          <w:szCs w:val="22"/>
        </w:rPr>
      </w:pPr>
      <w:r>
        <w:rPr>
          <w:szCs w:val="22"/>
        </w:rPr>
        <w:t xml:space="preserve">Et af de afsnit, hvor krav til indholdet kan </w:t>
      </w:r>
      <w:r w:rsidR="00304CAB">
        <w:rPr>
          <w:szCs w:val="22"/>
        </w:rPr>
        <w:t>forekomme</w:t>
      </w:r>
      <w:r>
        <w:rPr>
          <w:szCs w:val="22"/>
        </w:rPr>
        <w:t xml:space="preserve"> lidt uklart</w:t>
      </w:r>
      <w:r w:rsidR="00304CAB">
        <w:rPr>
          <w:szCs w:val="22"/>
        </w:rPr>
        <w:t xml:space="preserve"> er</w:t>
      </w:r>
      <w:r>
        <w:rPr>
          <w:szCs w:val="22"/>
        </w:rPr>
        <w:t xml:space="preserve"> s</w:t>
      </w:r>
      <w:r w:rsidR="008708AB">
        <w:rPr>
          <w:szCs w:val="22"/>
        </w:rPr>
        <w:t>ikkerhedsdokument</w:t>
      </w:r>
      <w:r w:rsidR="00886FDD">
        <w:rPr>
          <w:szCs w:val="22"/>
        </w:rPr>
        <w:t>ationens</w:t>
      </w:r>
      <w:r w:rsidR="008708AB">
        <w:rPr>
          <w:szCs w:val="22"/>
        </w:rPr>
        <w:t xml:space="preserve"> afsnit IV B</w:t>
      </w:r>
      <w:r>
        <w:rPr>
          <w:szCs w:val="22"/>
        </w:rPr>
        <w:t xml:space="preserve">, som </w:t>
      </w:r>
      <w:r w:rsidR="008708AB">
        <w:rPr>
          <w:szCs w:val="22"/>
        </w:rPr>
        <w:t>skal indeholde en vurdering af omfanget og alvoren af følgerne af større uheld</w:t>
      </w:r>
      <w:r w:rsidR="00BE677B">
        <w:rPr>
          <w:szCs w:val="22"/>
        </w:rPr>
        <w:t>, specielt i forhold til omgivelserne</w:t>
      </w:r>
      <w:r>
        <w:rPr>
          <w:szCs w:val="22"/>
        </w:rPr>
        <w:t>.</w:t>
      </w:r>
    </w:p>
    <w:p w14:paraId="2E1E685D" w14:textId="77777777" w:rsidR="00BE677B" w:rsidRDefault="00BE677B" w:rsidP="008708AB">
      <w:pPr>
        <w:jc w:val="both"/>
        <w:rPr>
          <w:szCs w:val="22"/>
        </w:rPr>
      </w:pPr>
      <w:r>
        <w:rPr>
          <w:szCs w:val="22"/>
        </w:rPr>
        <w:lastRenderedPageBreak/>
        <w:t xml:space="preserve">Den efterfølgende del af dette brev belyser </w:t>
      </w:r>
      <w:r w:rsidR="00B5206A">
        <w:rPr>
          <w:szCs w:val="22"/>
        </w:rPr>
        <w:t xml:space="preserve">kun disse </w:t>
      </w:r>
      <w:r>
        <w:rPr>
          <w:szCs w:val="22"/>
        </w:rPr>
        <w:t>forhold</w:t>
      </w:r>
      <w:r w:rsidR="00B5206A">
        <w:rPr>
          <w:szCs w:val="22"/>
        </w:rPr>
        <w:t xml:space="preserve"> i relation til omgivelserne</w:t>
      </w:r>
      <w:r>
        <w:rPr>
          <w:szCs w:val="22"/>
        </w:rPr>
        <w:t xml:space="preserve">. </w:t>
      </w:r>
    </w:p>
    <w:p w14:paraId="5F967766" w14:textId="77777777" w:rsidR="000667A2" w:rsidRDefault="000667A2" w:rsidP="008708AB">
      <w:pPr>
        <w:jc w:val="both"/>
        <w:rPr>
          <w:szCs w:val="22"/>
        </w:rPr>
      </w:pPr>
    </w:p>
    <w:p w14:paraId="2A6F7D11" w14:textId="77777777" w:rsidR="00BE677B" w:rsidRDefault="00BE677B" w:rsidP="008708AB">
      <w:pPr>
        <w:jc w:val="both"/>
        <w:rPr>
          <w:szCs w:val="22"/>
        </w:rPr>
      </w:pPr>
    </w:p>
    <w:p w14:paraId="121DB611" w14:textId="77777777" w:rsidR="00886FDD" w:rsidRDefault="00830420" w:rsidP="008708AB">
      <w:pPr>
        <w:jc w:val="both"/>
        <w:rPr>
          <w:iCs/>
          <w:szCs w:val="22"/>
        </w:rPr>
      </w:pPr>
      <w:r>
        <w:rPr>
          <w:szCs w:val="22"/>
        </w:rPr>
        <w:t>Vurderingen</w:t>
      </w:r>
      <w:r w:rsidR="000667A2">
        <w:rPr>
          <w:szCs w:val="22"/>
        </w:rPr>
        <w:t xml:space="preserve"> af omfang og alvor af følgerne af større uheld</w:t>
      </w:r>
      <w:r>
        <w:rPr>
          <w:szCs w:val="22"/>
        </w:rPr>
        <w:t xml:space="preserve">, som beskrives nærmere i de efterfølgende afsnit, </w:t>
      </w:r>
      <w:r w:rsidR="00BB3A9B">
        <w:rPr>
          <w:szCs w:val="22"/>
        </w:rPr>
        <w:t>bør</w:t>
      </w:r>
      <w:r>
        <w:rPr>
          <w:szCs w:val="22"/>
        </w:rPr>
        <w:t xml:space="preserve"> omfatte</w:t>
      </w:r>
      <w:r w:rsidR="00886FDD">
        <w:rPr>
          <w:szCs w:val="22"/>
        </w:rPr>
        <w:t xml:space="preserve"> naboer, miljø og materielle ting uden for virksomheden. Der </w:t>
      </w:r>
      <w:r w:rsidR="00BB3A9B">
        <w:rPr>
          <w:szCs w:val="22"/>
        </w:rPr>
        <w:t>bør</w:t>
      </w:r>
      <w:r w:rsidR="00886FDD">
        <w:rPr>
          <w:szCs w:val="22"/>
        </w:rPr>
        <w:t xml:space="preserve"> endvidere være </w:t>
      </w:r>
      <w:r w:rsidR="008708AB">
        <w:rPr>
          <w:szCs w:val="22"/>
        </w:rPr>
        <w:t>kort/beskrivelser</w:t>
      </w:r>
      <w:r w:rsidR="00304CAB">
        <w:rPr>
          <w:szCs w:val="22"/>
        </w:rPr>
        <w:t>,</w:t>
      </w:r>
      <w:r w:rsidR="008708AB">
        <w:rPr>
          <w:szCs w:val="22"/>
        </w:rPr>
        <w:t xml:space="preserve"> der viser de områder, der kan blive berørt</w:t>
      </w:r>
      <w:r>
        <w:rPr>
          <w:szCs w:val="22"/>
        </w:rPr>
        <w:t xml:space="preserve"> af større uheld</w:t>
      </w:r>
      <w:r w:rsidR="008708AB">
        <w:rPr>
          <w:szCs w:val="22"/>
        </w:rPr>
        <w:t>.</w:t>
      </w:r>
      <w:r w:rsidR="008708AB" w:rsidRPr="00680A16">
        <w:rPr>
          <w:iCs/>
          <w:szCs w:val="22"/>
        </w:rPr>
        <w:t xml:space="preserve"> </w:t>
      </w:r>
    </w:p>
    <w:p w14:paraId="18DE6931" w14:textId="77777777" w:rsidR="00886FDD" w:rsidRDefault="00886FDD" w:rsidP="008708AB">
      <w:pPr>
        <w:jc w:val="both"/>
        <w:rPr>
          <w:iCs/>
          <w:szCs w:val="22"/>
        </w:rPr>
      </w:pPr>
    </w:p>
    <w:p w14:paraId="27764D6D" w14:textId="77777777" w:rsidR="008708AB" w:rsidRDefault="008708AB" w:rsidP="008708AB">
      <w:pPr>
        <w:jc w:val="both"/>
        <w:rPr>
          <w:iCs/>
          <w:szCs w:val="22"/>
        </w:rPr>
      </w:pPr>
      <w:r w:rsidRPr="00680A16">
        <w:rPr>
          <w:iCs/>
          <w:szCs w:val="22"/>
        </w:rPr>
        <w:t>Resume af konsekvens</w:t>
      </w:r>
      <w:r w:rsidR="00830420">
        <w:rPr>
          <w:iCs/>
          <w:szCs w:val="22"/>
        </w:rPr>
        <w:t>vurderinger og -</w:t>
      </w:r>
      <w:r w:rsidRPr="00680A16">
        <w:rPr>
          <w:iCs/>
          <w:szCs w:val="22"/>
        </w:rPr>
        <w:t>beregninger fra afsnit IV B</w:t>
      </w:r>
      <w:r w:rsidR="00830420" w:rsidRPr="00830420">
        <w:rPr>
          <w:iCs/>
          <w:szCs w:val="22"/>
        </w:rPr>
        <w:t xml:space="preserve"> </w:t>
      </w:r>
      <w:r w:rsidR="00830420" w:rsidRPr="00680A16">
        <w:rPr>
          <w:iCs/>
          <w:szCs w:val="22"/>
        </w:rPr>
        <w:t>placeres i afsnit</w:t>
      </w:r>
      <w:r w:rsidR="00830420">
        <w:rPr>
          <w:iCs/>
          <w:szCs w:val="22"/>
        </w:rPr>
        <w:t xml:space="preserve"> II</w:t>
      </w:r>
      <w:r>
        <w:rPr>
          <w:iCs/>
          <w:szCs w:val="22"/>
        </w:rPr>
        <w:t>, herunder kort med fælles konsekvensafstande og evt. beregnede isorisikokurver</w:t>
      </w:r>
      <w:r w:rsidRPr="00680A16">
        <w:rPr>
          <w:iCs/>
          <w:szCs w:val="22"/>
        </w:rPr>
        <w:t xml:space="preserve"> </w:t>
      </w:r>
      <w:r>
        <w:rPr>
          <w:iCs/>
          <w:szCs w:val="22"/>
        </w:rPr>
        <w:t>(fra 10</w:t>
      </w:r>
      <w:r w:rsidRPr="00F613D7">
        <w:rPr>
          <w:iCs/>
          <w:szCs w:val="22"/>
          <w:vertAlign w:val="superscript"/>
        </w:rPr>
        <w:t>-5</w:t>
      </w:r>
      <w:r>
        <w:rPr>
          <w:iCs/>
          <w:szCs w:val="22"/>
        </w:rPr>
        <w:t xml:space="preserve"> til 10</w:t>
      </w:r>
      <w:r w:rsidRPr="00F613D7">
        <w:rPr>
          <w:iCs/>
          <w:szCs w:val="22"/>
          <w:vertAlign w:val="superscript"/>
        </w:rPr>
        <w:t>-9</w:t>
      </w:r>
      <w:r>
        <w:rPr>
          <w:iCs/>
          <w:szCs w:val="22"/>
        </w:rPr>
        <w:t xml:space="preserve"> pr. år)</w:t>
      </w:r>
      <w:r w:rsidRPr="00680A16">
        <w:rPr>
          <w:iCs/>
          <w:szCs w:val="22"/>
        </w:rPr>
        <w:t>.</w:t>
      </w:r>
    </w:p>
    <w:p w14:paraId="00851329" w14:textId="77777777" w:rsidR="00C63071" w:rsidRDefault="00C63071" w:rsidP="008708AB">
      <w:pPr>
        <w:jc w:val="both"/>
        <w:rPr>
          <w:iCs/>
          <w:szCs w:val="22"/>
        </w:rPr>
      </w:pPr>
    </w:p>
    <w:p w14:paraId="0C3CC717" w14:textId="77777777" w:rsidR="00304CAB" w:rsidRDefault="00886FDD" w:rsidP="008708AB">
      <w:pPr>
        <w:jc w:val="both"/>
        <w:rPr>
          <w:szCs w:val="22"/>
        </w:rPr>
      </w:pPr>
      <w:r>
        <w:rPr>
          <w:szCs w:val="22"/>
        </w:rPr>
        <w:t xml:space="preserve">Det fremgår af </w:t>
      </w:r>
      <w:r w:rsidR="00304CAB">
        <w:rPr>
          <w:szCs w:val="22"/>
        </w:rPr>
        <w:t xml:space="preserve">en </w:t>
      </w:r>
      <w:r>
        <w:rPr>
          <w:szCs w:val="22"/>
        </w:rPr>
        <w:t>afgørelse fra Miljøklagenævnet</w:t>
      </w:r>
      <w:r>
        <w:rPr>
          <w:rStyle w:val="Fodnotehenvisning"/>
          <w:szCs w:val="22"/>
        </w:rPr>
        <w:footnoteReference w:id="2"/>
      </w:r>
      <w:r>
        <w:rPr>
          <w:szCs w:val="22"/>
        </w:rPr>
        <w:t xml:space="preserve">, at af hensyn til fremtidig revision af kommuneplaner og lokalplaner omkring virksomheden samt ud fra hensynet til information af offentligheden, bør størrelsesorden af risiko- og konsekvenszoner tydeligt fremgå af </w:t>
      </w:r>
      <w:r w:rsidR="000F7824">
        <w:rPr>
          <w:szCs w:val="22"/>
        </w:rPr>
        <w:t>risiko</w:t>
      </w:r>
      <w:r>
        <w:rPr>
          <w:szCs w:val="22"/>
        </w:rPr>
        <w:t xml:space="preserve">afgørelser. Oplysningerne bør </w:t>
      </w:r>
      <w:r w:rsidR="00086489">
        <w:rPr>
          <w:szCs w:val="22"/>
        </w:rPr>
        <w:t xml:space="preserve">derfor </w:t>
      </w:r>
      <w:r>
        <w:rPr>
          <w:szCs w:val="22"/>
        </w:rPr>
        <w:t>fremgå både af sikkerhedsrapportens afsnit IV B, samt af Ikke-teknisk resume.</w:t>
      </w:r>
      <w:r w:rsidR="00830420">
        <w:rPr>
          <w:szCs w:val="22"/>
        </w:rPr>
        <w:t xml:space="preserve"> </w:t>
      </w:r>
    </w:p>
    <w:p w14:paraId="12AE83DE" w14:textId="77777777" w:rsidR="00304CAB" w:rsidRDefault="00304CAB" w:rsidP="008708AB">
      <w:pPr>
        <w:jc w:val="both"/>
        <w:rPr>
          <w:szCs w:val="22"/>
        </w:rPr>
      </w:pPr>
    </w:p>
    <w:p w14:paraId="4C0597B4" w14:textId="77777777" w:rsidR="008708AB" w:rsidRDefault="008708AB" w:rsidP="008708AB">
      <w:pPr>
        <w:jc w:val="both"/>
        <w:rPr>
          <w:szCs w:val="22"/>
        </w:rPr>
      </w:pPr>
    </w:p>
    <w:p w14:paraId="0D99B17E" w14:textId="77777777" w:rsidR="00304CAB" w:rsidRDefault="00304CAB" w:rsidP="008708AB">
      <w:pPr>
        <w:jc w:val="both"/>
        <w:rPr>
          <w:szCs w:val="22"/>
          <w:u w:val="single"/>
        </w:rPr>
      </w:pPr>
      <w:r>
        <w:rPr>
          <w:szCs w:val="22"/>
          <w:u w:val="single"/>
        </w:rPr>
        <w:t>Afgrænsning af mængder i forhold til risikobekendtgørelsen</w:t>
      </w:r>
    </w:p>
    <w:p w14:paraId="5C3AE984" w14:textId="77777777" w:rsidR="00304CAB" w:rsidRPr="00304CAB" w:rsidRDefault="00A37A1A" w:rsidP="008708AB">
      <w:pPr>
        <w:jc w:val="both"/>
        <w:rPr>
          <w:szCs w:val="22"/>
        </w:rPr>
      </w:pPr>
      <w:r>
        <w:rPr>
          <w:szCs w:val="22"/>
        </w:rPr>
        <w:t>Ved opgørelse af mængden af farlige stoffer på virksomheden</w:t>
      </w:r>
      <w:r w:rsidR="006F7DAE">
        <w:rPr>
          <w:szCs w:val="22"/>
        </w:rPr>
        <w:t xml:space="preserve"> (afsnit III C)</w:t>
      </w:r>
      <w:r>
        <w:rPr>
          <w:szCs w:val="22"/>
        </w:rPr>
        <w:t xml:space="preserve"> anvendes </w:t>
      </w:r>
      <w:r w:rsidR="004C17C7">
        <w:rPr>
          <w:szCs w:val="22"/>
        </w:rPr>
        <w:t>oplags</w:t>
      </w:r>
      <w:r>
        <w:rPr>
          <w:szCs w:val="22"/>
        </w:rPr>
        <w:t>kapacitet</w:t>
      </w:r>
      <w:r w:rsidR="0096186C">
        <w:rPr>
          <w:szCs w:val="22"/>
        </w:rPr>
        <w:t>en</w:t>
      </w:r>
      <w:r>
        <w:rPr>
          <w:szCs w:val="22"/>
        </w:rPr>
        <w:t xml:space="preserve"> for </w:t>
      </w:r>
      <w:r w:rsidR="000667A2">
        <w:rPr>
          <w:szCs w:val="22"/>
        </w:rPr>
        <w:t xml:space="preserve">de </w:t>
      </w:r>
      <w:r>
        <w:rPr>
          <w:szCs w:val="22"/>
        </w:rPr>
        <w:t>enkelt</w:t>
      </w:r>
      <w:r w:rsidR="000667A2">
        <w:rPr>
          <w:szCs w:val="22"/>
        </w:rPr>
        <w:t>e</w:t>
      </w:r>
      <w:r>
        <w:rPr>
          <w:szCs w:val="22"/>
        </w:rPr>
        <w:t xml:space="preserve"> stof</w:t>
      </w:r>
      <w:r w:rsidR="000667A2">
        <w:rPr>
          <w:szCs w:val="22"/>
        </w:rPr>
        <w:t>fer</w:t>
      </w:r>
      <w:r w:rsidR="004C17C7">
        <w:rPr>
          <w:szCs w:val="22"/>
        </w:rPr>
        <w:t xml:space="preserve"> og klassificerede stofblandinger</w:t>
      </w:r>
      <w:r>
        <w:rPr>
          <w:szCs w:val="22"/>
        </w:rPr>
        <w:t xml:space="preserve">. Der er dog en enkelt undtagelse, idet opgørelsen af ammoniak i køleanlæg baseres på den maksimale fyldning, hvor køleanlægget kan fungere. </w:t>
      </w:r>
      <w:r w:rsidR="00F94C66">
        <w:rPr>
          <w:szCs w:val="22"/>
        </w:rPr>
        <w:t xml:space="preserve">Bemærk endvidere, at vurderingen skal foretages ud fra den klassificering stoffet eller blandingen har, hvilket betyder, at f.eks. </w:t>
      </w:r>
      <w:r w:rsidR="000667A2">
        <w:rPr>
          <w:szCs w:val="22"/>
        </w:rPr>
        <w:t xml:space="preserve">mængden af </w:t>
      </w:r>
      <w:r w:rsidR="00F94C66">
        <w:rPr>
          <w:szCs w:val="22"/>
        </w:rPr>
        <w:t xml:space="preserve">20 % ammoniakvand ikke skal omregnes til </w:t>
      </w:r>
      <w:r w:rsidR="0096186C">
        <w:rPr>
          <w:szCs w:val="22"/>
        </w:rPr>
        <w:t>vand</w:t>
      </w:r>
      <w:r w:rsidR="00F94C66">
        <w:rPr>
          <w:szCs w:val="22"/>
        </w:rPr>
        <w:t>fri ammoniak</w:t>
      </w:r>
      <w:r w:rsidR="0096186C">
        <w:rPr>
          <w:szCs w:val="22"/>
        </w:rPr>
        <w:t>,</w:t>
      </w:r>
      <w:r w:rsidR="00F94C66">
        <w:rPr>
          <w:szCs w:val="22"/>
        </w:rPr>
        <w:t xml:space="preserve"> og da det heller ikke er klassificeret som miljøfarligt, så er oplaget ikke</w:t>
      </w:r>
      <w:r w:rsidR="0096186C">
        <w:rPr>
          <w:szCs w:val="22"/>
        </w:rPr>
        <w:t xml:space="preserve"> </w:t>
      </w:r>
      <w:r w:rsidR="00F94C66">
        <w:rPr>
          <w:szCs w:val="22"/>
        </w:rPr>
        <w:t>omfattet af risikobekg.</w:t>
      </w:r>
      <w:r w:rsidR="00F94C66" w:rsidRPr="00304CAB" w:rsidDel="00F94C66">
        <w:rPr>
          <w:szCs w:val="22"/>
        </w:rPr>
        <w:t xml:space="preserve"> </w:t>
      </w:r>
    </w:p>
    <w:p w14:paraId="5B1D5660" w14:textId="77777777" w:rsidR="00A37A1A" w:rsidRDefault="00A37A1A" w:rsidP="008708AB">
      <w:pPr>
        <w:jc w:val="both"/>
        <w:rPr>
          <w:szCs w:val="22"/>
        </w:rPr>
      </w:pPr>
    </w:p>
    <w:p w14:paraId="0F879085" w14:textId="77777777" w:rsidR="00304CAB" w:rsidRPr="00A37A1A" w:rsidRDefault="00A37A1A" w:rsidP="008708AB">
      <w:pPr>
        <w:jc w:val="both"/>
        <w:rPr>
          <w:b/>
          <w:szCs w:val="22"/>
        </w:rPr>
      </w:pPr>
      <w:r w:rsidRPr="00A37A1A">
        <w:rPr>
          <w:b/>
          <w:szCs w:val="22"/>
        </w:rPr>
        <w:t>Scenarier og konsekvensafstande</w:t>
      </w:r>
    </w:p>
    <w:p w14:paraId="5EC00A84" w14:textId="77777777" w:rsidR="00A37A1A" w:rsidRPr="006F7DAE" w:rsidRDefault="006F7DAE" w:rsidP="008708AB">
      <w:pPr>
        <w:jc w:val="both"/>
        <w:rPr>
          <w:szCs w:val="22"/>
          <w:u w:val="single"/>
        </w:rPr>
      </w:pPr>
      <w:r w:rsidRPr="006F7DAE">
        <w:rPr>
          <w:szCs w:val="22"/>
          <w:u w:val="single"/>
        </w:rPr>
        <w:t>Scenarier</w:t>
      </w:r>
      <w:r>
        <w:rPr>
          <w:szCs w:val="22"/>
          <w:u w:val="single"/>
        </w:rPr>
        <w:t>,</w:t>
      </w:r>
      <w:r w:rsidRPr="006F7DAE">
        <w:rPr>
          <w:szCs w:val="22"/>
          <w:u w:val="single"/>
        </w:rPr>
        <w:t xml:space="preserve"> </w:t>
      </w:r>
      <w:r>
        <w:rPr>
          <w:szCs w:val="22"/>
          <w:u w:val="single"/>
        </w:rPr>
        <w:t xml:space="preserve">jf. bilag 3/4 afsnit IV A </w:t>
      </w:r>
    </w:p>
    <w:p w14:paraId="08605FBE" w14:textId="77777777" w:rsidR="006F7DAE" w:rsidRDefault="006F7DAE" w:rsidP="00D80B14">
      <w:pPr>
        <w:ind w:right="84"/>
        <w:jc w:val="both"/>
        <w:rPr>
          <w:szCs w:val="22"/>
        </w:rPr>
      </w:pPr>
      <w:r w:rsidRPr="003B3054">
        <w:rPr>
          <w:szCs w:val="22"/>
        </w:rPr>
        <w:t xml:space="preserve">Der </w:t>
      </w:r>
      <w:r w:rsidR="00A043A1">
        <w:rPr>
          <w:szCs w:val="22"/>
        </w:rPr>
        <w:t>bør</w:t>
      </w:r>
      <w:r w:rsidRPr="003B3054">
        <w:rPr>
          <w:szCs w:val="22"/>
        </w:rPr>
        <w:t xml:space="preserve"> opstilles et eller flere scenarier for større uheld </w:t>
      </w:r>
      <w:r w:rsidR="00A043A1">
        <w:rPr>
          <w:szCs w:val="22"/>
        </w:rPr>
        <w:t>med de stoffer/blandinger</w:t>
      </w:r>
      <w:r w:rsidRPr="003B3054">
        <w:rPr>
          <w:szCs w:val="22"/>
        </w:rPr>
        <w:t xml:space="preserve"> omfattet af risikobekendtgørelsen, som ønskes håndteret</w:t>
      </w:r>
      <w:r>
        <w:rPr>
          <w:szCs w:val="22"/>
        </w:rPr>
        <w:t>/opbevaret</w:t>
      </w:r>
      <w:r w:rsidRPr="003B3054">
        <w:rPr>
          <w:szCs w:val="22"/>
        </w:rPr>
        <w:t xml:space="preserve"> på</w:t>
      </w:r>
      <w:r>
        <w:rPr>
          <w:szCs w:val="22"/>
        </w:rPr>
        <w:t xml:space="preserve"> virksomheden eller som kan dannes, hvis en industriel proces kommer ud af kontrol.</w:t>
      </w:r>
    </w:p>
    <w:p w14:paraId="7445C42D" w14:textId="77777777" w:rsidR="006F7DAE" w:rsidRDefault="006F7DAE" w:rsidP="006F7DAE">
      <w:pPr>
        <w:ind w:right="-908"/>
        <w:jc w:val="both"/>
        <w:rPr>
          <w:szCs w:val="22"/>
        </w:rPr>
      </w:pPr>
    </w:p>
    <w:p w14:paraId="3383EF7B" w14:textId="77777777" w:rsidR="00A37A1A" w:rsidRDefault="006F7DAE" w:rsidP="006F7DAE">
      <w:pPr>
        <w:jc w:val="both"/>
        <w:rPr>
          <w:szCs w:val="22"/>
        </w:rPr>
      </w:pPr>
      <w:r w:rsidRPr="003B3054">
        <w:rPr>
          <w:szCs w:val="22"/>
        </w:rPr>
        <w:t xml:space="preserve">Fokus for de scenarier, der opstilles for de respektive klassificeringer, </w:t>
      </w:r>
      <w:r w:rsidR="00BB3A9B">
        <w:rPr>
          <w:szCs w:val="22"/>
        </w:rPr>
        <w:t>bør</w:t>
      </w:r>
      <w:r w:rsidRPr="003B3054">
        <w:rPr>
          <w:szCs w:val="22"/>
        </w:rPr>
        <w:t xml:space="preserve"> være, at stoffet/produktet</w:t>
      </w:r>
      <w:r>
        <w:rPr>
          <w:szCs w:val="22"/>
        </w:rPr>
        <w:t xml:space="preserve"> </w:t>
      </w:r>
      <w:r w:rsidRPr="003B3054">
        <w:rPr>
          <w:szCs w:val="22"/>
        </w:rPr>
        <w:t>slipper ud af den primære indeslutning</w:t>
      </w:r>
      <w:r>
        <w:rPr>
          <w:szCs w:val="22"/>
        </w:rPr>
        <w:t xml:space="preserve"> (f.eks. procesanlæg, lagertank, rørledning eller transportbeholder), og at stoffets farlige egenskaber</w:t>
      </w:r>
      <w:r w:rsidR="00A043A1">
        <w:rPr>
          <w:szCs w:val="22"/>
        </w:rPr>
        <w:t xml:space="preserve"> dvs.</w:t>
      </w:r>
      <w:r>
        <w:rPr>
          <w:szCs w:val="22"/>
        </w:rPr>
        <w:t xml:space="preserve"> </w:t>
      </w:r>
      <w:r w:rsidR="00A043A1">
        <w:rPr>
          <w:szCs w:val="22"/>
        </w:rPr>
        <w:t>sundhedsfare, fysisk fare (brand og eksplosion) og miljøfare,</w:t>
      </w:r>
      <w:r>
        <w:rPr>
          <w:szCs w:val="22"/>
        </w:rPr>
        <w:t xml:space="preserve"> kommer til udtryk.</w:t>
      </w:r>
      <w:r w:rsidR="000667A2">
        <w:rPr>
          <w:szCs w:val="22"/>
        </w:rPr>
        <w:t xml:space="preserve"> Vær endvidere opmærksom på, om der kan forekomme brand/eksplosion inde i beholdere mv.  </w:t>
      </w:r>
    </w:p>
    <w:p w14:paraId="67870258" w14:textId="77777777" w:rsidR="00A37A1A" w:rsidRPr="00304CAB" w:rsidRDefault="00A37A1A" w:rsidP="008708AB">
      <w:pPr>
        <w:jc w:val="both"/>
        <w:rPr>
          <w:szCs w:val="22"/>
        </w:rPr>
      </w:pPr>
    </w:p>
    <w:p w14:paraId="4171E0CE" w14:textId="77777777" w:rsidR="008708AB" w:rsidRPr="00C579D0" w:rsidRDefault="008708AB" w:rsidP="008708AB">
      <w:pPr>
        <w:jc w:val="both"/>
        <w:rPr>
          <w:szCs w:val="22"/>
          <w:u w:val="single"/>
        </w:rPr>
      </w:pPr>
      <w:r w:rsidRPr="00C579D0">
        <w:rPr>
          <w:szCs w:val="22"/>
          <w:u w:val="single"/>
        </w:rPr>
        <w:t>Analyser og beregninger</w:t>
      </w:r>
      <w:r w:rsidR="00E61029">
        <w:rPr>
          <w:szCs w:val="22"/>
          <w:u w:val="single"/>
        </w:rPr>
        <w:t>, jf. bilag 3/4 afsnit IV B</w:t>
      </w:r>
    </w:p>
    <w:p w14:paraId="48CA1BD2" w14:textId="77777777" w:rsidR="00E61029" w:rsidRDefault="008708AB" w:rsidP="008708AB">
      <w:pPr>
        <w:jc w:val="both"/>
        <w:rPr>
          <w:szCs w:val="22"/>
        </w:rPr>
      </w:pPr>
      <w:r>
        <w:rPr>
          <w:szCs w:val="22"/>
        </w:rPr>
        <w:t xml:space="preserve">Vi anbefaler, at </w:t>
      </w:r>
      <w:r w:rsidR="00304CAB">
        <w:rPr>
          <w:szCs w:val="22"/>
        </w:rPr>
        <w:t>virksomheden</w:t>
      </w:r>
      <w:r>
        <w:rPr>
          <w:szCs w:val="22"/>
        </w:rPr>
        <w:t xml:space="preserve"> indledningsvis foretager en kvalitativ analyse, hvor der for alle de scenarier (hændelsesforløb)</w:t>
      </w:r>
      <w:r w:rsidR="00E61029">
        <w:rPr>
          <w:szCs w:val="22"/>
        </w:rPr>
        <w:t xml:space="preserve"> for større uheld</w:t>
      </w:r>
      <w:r>
        <w:rPr>
          <w:szCs w:val="22"/>
        </w:rPr>
        <w:t xml:space="preserve">, </w:t>
      </w:r>
      <w:r w:rsidR="00952BDC">
        <w:rPr>
          <w:szCs w:val="22"/>
        </w:rPr>
        <w:t>d</w:t>
      </w:r>
      <w:r w:rsidR="00A043A1">
        <w:rPr>
          <w:szCs w:val="22"/>
        </w:rPr>
        <w:t>e</w:t>
      </w:r>
      <w:r>
        <w:rPr>
          <w:szCs w:val="22"/>
        </w:rPr>
        <w:t xml:space="preserve">r er identificeret i rapportens afsnit IV A, beregnes konsekvensafstande for følgerne af henholdsvis brand, eksplosion og udslip af </w:t>
      </w:r>
      <w:r w:rsidR="00A043A1">
        <w:rPr>
          <w:szCs w:val="22"/>
        </w:rPr>
        <w:t>sundhedsfarlige</w:t>
      </w:r>
      <w:r w:rsidR="00E61029">
        <w:rPr>
          <w:szCs w:val="22"/>
        </w:rPr>
        <w:t>/miljøfarlige stoffer</w:t>
      </w:r>
      <w:r>
        <w:rPr>
          <w:szCs w:val="22"/>
        </w:rPr>
        <w:t xml:space="preserve">. </w:t>
      </w:r>
    </w:p>
    <w:p w14:paraId="0C9A3117" w14:textId="77777777" w:rsidR="003A014D" w:rsidRDefault="003A014D" w:rsidP="003A014D">
      <w:pPr>
        <w:jc w:val="both"/>
        <w:rPr>
          <w:szCs w:val="22"/>
        </w:rPr>
      </w:pPr>
    </w:p>
    <w:p w14:paraId="125A051E" w14:textId="77777777" w:rsidR="003A014D" w:rsidRDefault="003A014D" w:rsidP="003A014D">
      <w:pPr>
        <w:jc w:val="both"/>
        <w:rPr>
          <w:szCs w:val="22"/>
        </w:rPr>
      </w:pPr>
      <w:r>
        <w:rPr>
          <w:szCs w:val="22"/>
        </w:rPr>
        <w:lastRenderedPageBreak/>
        <w:t xml:space="preserve">Ved vurdering af </w:t>
      </w:r>
      <w:r w:rsidR="007B7189">
        <w:rPr>
          <w:szCs w:val="22"/>
        </w:rPr>
        <w:t xml:space="preserve">konsekvenser </w:t>
      </w:r>
      <w:r>
        <w:rPr>
          <w:szCs w:val="22"/>
        </w:rPr>
        <w:t xml:space="preserve">i forhold til omgivelserne er det kun større uheld </w:t>
      </w:r>
      <w:r w:rsidRPr="003B3054">
        <w:rPr>
          <w:szCs w:val="22"/>
        </w:rPr>
        <w:t>med en estimeret hyppighed, som er større end 10</w:t>
      </w:r>
      <w:r w:rsidRPr="003B3054">
        <w:rPr>
          <w:szCs w:val="22"/>
          <w:vertAlign w:val="superscript"/>
        </w:rPr>
        <w:t>-9</w:t>
      </w:r>
      <w:r w:rsidRPr="003B3054">
        <w:rPr>
          <w:szCs w:val="22"/>
        </w:rPr>
        <w:t xml:space="preserve"> pr. år</w:t>
      </w:r>
      <w:r>
        <w:rPr>
          <w:szCs w:val="22"/>
        </w:rPr>
        <w:t>, der</w:t>
      </w:r>
      <w:r w:rsidRPr="003B3054">
        <w:rPr>
          <w:szCs w:val="22"/>
        </w:rPr>
        <w:t xml:space="preserve"> skal indgå i </w:t>
      </w:r>
      <w:r>
        <w:rPr>
          <w:szCs w:val="22"/>
        </w:rPr>
        <w:t xml:space="preserve">den kvalitative </w:t>
      </w:r>
      <w:r w:rsidRPr="003B3054">
        <w:rPr>
          <w:szCs w:val="22"/>
        </w:rPr>
        <w:t>vurdering.</w:t>
      </w:r>
      <w:r>
        <w:rPr>
          <w:szCs w:val="22"/>
        </w:rPr>
        <w:t xml:space="preserve">  </w:t>
      </w:r>
    </w:p>
    <w:p w14:paraId="2283077F" w14:textId="77777777" w:rsidR="00952BDC" w:rsidRDefault="00952BDC" w:rsidP="00952BDC">
      <w:pPr>
        <w:jc w:val="both"/>
        <w:rPr>
          <w:szCs w:val="22"/>
        </w:rPr>
      </w:pPr>
    </w:p>
    <w:p w14:paraId="17C36470" w14:textId="77777777" w:rsidR="003648C9" w:rsidRDefault="00952BDC" w:rsidP="003648C9">
      <w:pPr>
        <w:jc w:val="both"/>
        <w:rPr>
          <w:szCs w:val="22"/>
        </w:rPr>
      </w:pPr>
      <w:r>
        <w:rPr>
          <w:szCs w:val="22"/>
        </w:rPr>
        <w:t>Beregningerne bør udføres, så risikomyndighederne kan vurdere følgerne (omfang og alvor) af større uheld</w:t>
      </w:r>
      <w:r w:rsidR="004C17C7">
        <w:rPr>
          <w:szCs w:val="22"/>
        </w:rPr>
        <w:t>, herunder ved angivelse af k</w:t>
      </w:r>
      <w:r w:rsidR="003648C9">
        <w:rPr>
          <w:szCs w:val="22"/>
        </w:rPr>
        <w:t xml:space="preserve">onsekvensafstanden for dimensionerende uheld (hyppighed </w:t>
      </w:r>
      <w:r w:rsidR="000667A2">
        <w:rPr>
          <w:szCs w:val="22"/>
        </w:rPr>
        <w:t xml:space="preserve">større </w:t>
      </w:r>
      <w:r w:rsidR="003648C9">
        <w:rPr>
          <w:szCs w:val="22"/>
        </w:rPr>
        <w:t>end 10</w:t>
      </w:r>
      <w:r w:rsidR="00E50B1E" w:rsidRPr="00E50B1E">
        <w:rPr>
          <w:szCs w:val="22"/>
          <w:vertAlign w:val="superscript"/>
        </w:rPr>
        <w:t>-5</w:t>
      </w:r>
      <w:r w:rsidR="003648C9">
        <w:rPr>
          <w:szCs w:val="22"/>
        </w:rPr>
        <w:t xml:space="preserve"> pr. år</w:t>
      </w:r>
      <w:r w:rsidR="004C17C7">
        <w:rPr>
          <w:szCs w:val="22"/>
        </w:rPr>
        <w:t>), der</w:t>
      </w:r>
      <w:r w:rsidR="003648C9">
        <w:rPr>
          <w:szCs w:val="22"/>
        </w:rPr>
        <w:t xml:space="preserve"> betegnes sikkerhedsafstanden, </w:t>
      </w:r>
      <w:r w:rsidR="004C17C7">
        <w:rPr>
          <w:szCs w:val="22"/>
        </w:rPr>
        <w:t xml:space="preserve">og </w:t>
      </w:r>
      <w:r w:rsidR="003648C9">
        <w:rPr>
          <w:szCs w:val="22"/>
        </w:rPr>
        <w:t>den maksimale konsekvensafstand</w:t>
      </w:r>
      <w:r w:rsidR="004C17C7">
        <w:rPr>
          <w:szCs w:val="22"/>
        </w:rPr>
        <w:t>, der</w:t>
      </w:r>
      <w:r w:rsidR="003648C9">
        <w:rPr>
          <w:szCs w:val="22"/>
        </w:rPr>
        <w:t xml:space="preserve"> omfatter uheld med sandsynlighed større end 10</w:t>
      </w:r>
      <w:r w:rsidR="003648C9" w:rsidRPr="00A94EDA">
        <w:rPr>
          <w:szCs w:val="22"/>
          <w:vertAlign w:val="superscript"/>
        </w:rPr>
        <w:t>-9</w:t>
      </w:r>
      <w:r w:rsidR="003648C9">
        <w:rPr>
          <w:szCs w:val="22"/>
        </w:rPr>
        <w:t xml:space="preserve"> pr. år</w:t>
      </w:r>
      <w:r w:rsidR="003935EC">
        <w:rPr>
          <w:szCs w:val="22"/>
        </w:rPr>
        <w:t>.</w:t>
      </w:r>
    </w:p>
    <w:p w14:paraId="3DF0D33C" w14:textId="77777777" w:rsidR="003935EC" w:rsidRDefault="003935EC" w:rsidP="003648C9">
      <w:pPr>
        <w:jc w:val="both"/>
        <w:rPr>
          <w:szCs w:val="22"/>
        </w:rPr>
      </w:pPr>
    </w:p>
    <w:p w14:paraId="5AE487A0" w14:textId="77777777" w:rsidR="00A92231" w:rsidRDefault="003648C9" w:rsidP="003648C9">
      <w:pPr>
        <w:jc w:val="both"/>
        <w:rPr>
          <w:szCs w:val="22"/>
        </w:rPr>
      </w:pPr>
      <w:r>
        <w:rPr>
          <w:szCs w:val="22"/>
        </w:rPr>
        <w:t xml:space="preserve">For </w:t>
      </w:r>
      <w:r w:rsidR="00952BDC">
        <w:rPr>
          <w:szCs w:val="22"/>
        </w:rPr>
        <w:t>scenarier med stoffer/blandinger, s0m er kla</w:t>
      </w:r>
      <w:r w:rsidR="00A92231" w:rsidRPr="003B3054">
        <w:rPr>
          <w:szCs w:val="22"/>
        </w:rPr>
        <w:t xml:space="preserve">ssificeret som </w:t>
      </w:r>
      <w:r w:rsidR="00A92231" w:rsidRPr="00B75B7F">
        <w:rPr>
          <w:b/>
          <w:i/>
          <w:szCs w:val="22"/>
        </w:rPr>
        <w:t>brandfarlig</w:t>
      </w:r>
      <w:r w:rsidR="00952BDC">
        <w:rPr>
          <w:b/>
          <w:i/>
          <w:szCs w:val="22"/>
        </w:rPr>
        <w:t>e</w:t>
      </w:r>
      <w:r w:rsidR="00A92231" w:rsidRPr="00B75B7F">
        <w:rPr>
          <w:b/>
          <w:i/>
          <w:szCs w:val="22"/>
        </w:rPr>
        <w:t>/eksplosiv</w:t>
      </w:r>
      <w:r w:rsidR="00952BDC">
        <w:rPr>
          <w:b/>
          <w:i/>
          <w:szCs w:val="22"/>
        </w:rPr>
        <w:t>e</w:t>
      </w:r>
      <w:r w:rsidR="00952BDC">
        <w:rPr>
          <w:szCs w:val="22"/>
        </w:rPr>
        <w:t>, bør</w:t>
      </w:r>
      <w:r w:rsidR="00A92231" w:rsidRPr="003B3054">
        <w:rPr>
          <w:szCs w:val="22"/>
        </w:rPr>
        <w:t xml:space="preserve"> hændelsesforløbet efter udslip fra den primære indeslutning ende med brand/eksplosion i den totale mængde af stof/produkt, som </w:t>
      </w:r>
      <w:r w:rsidR="00952BDC">
        <w:rPr>
          <w:szCs w:val="22"/>
        </w:rPr>
        <w:t>anlægget/oplaget</w:t>
      </w:r>
      <w:r w:rsidR="00A92231" w:rsidRPr="003B3054">
        <w:rPr>
          <w:szCs w:val="22"/>
        </w:rPr>
        <w:t xml:space="preserve"> kan rumme</w:t>
      </w:r>
      <w:r w:rsidR="007E5BC5">
        <w:rPr>
          <w:szCs w:val="22"/>
        </w:rPr>
        <w:t>. Der bør</w:t>
      </w:r>
      <w:r w:rsidR="00A92231" w:rsidRPr="003B3054">
        <w:rPr>
          <w:szCs w:val="22"/>
        </w:rPr>
        <w:t xml:space="preserve"> redegøres for konsekvenserne</w:t>
      </w:r>
      <w:r w:rsidR="00A92231">
        <w:rPr>
          <w:szCs w:val="22"/>
        </w:rPr>
        <w:t xml:space="preserve"> for omgivelser</w:t>
      </w:r>
      <w:r w:rsidR="000667A2">
        <w:rPr>
          <w:szCs w:val="22"/>
        </w:rPr>
        <w:t>ne</w:t>
      </w:r>
      <w:r w:rsidR="00A92231">
        <w:rPr>
          <w:szCs w:val="22"/>
        </w:rPr>
        <w:t xml:space="preserve">, herunder om der kan opstå dominoeffekter fra uheldsstedet til andre </w:t>
      </w:r>
      <w:r w:rsidR="00952BDC">
        <w:rPr>
          <w:szCs w:val="22"/>
        </w:rPr>
        <w:t>oplag/anlæg på virksomheden</w:t>
      </w:r>
      <w:r w:rsidR="004C17C7">
        <w:rPr>
          <w:szCs w:val="22"/>
        </w:rPr>
        <w:t xml:space="preserve"> eller til eventuelle naborisikovirksomheder</w:t>
      </w:r>
      <w:r w:rsidR="00A92231">
        <w:rPr>
          <w:szCs w:val="22"/>
        </w:rPr>
        <w:t xml:space="preserve">. Der </w:t>
      </w:r>
      <w:r w:rsidR="00952BDC">
        <w:rPr>
          <w:szCs w:val="22"/>
        </w:rPr>
        <w:t>bør</w:t>
      </w:r>
      <w:r w:rsidR="00A92231">
        <w:rPr>
          <w:szCs w:val="22"/>
        </w:rPr>
        <w:t xml:space="preserve"> desuden redegøres for, om der ved brand/eksplosion dannes </w:t>
      </w:r>
      <w:r w:rsidR="000667A2">
        <w:rPr>
          <w:szCs w:val="22"/>
        </w:rPr>
        <w:t xml:space="preserve">specielle/særlige </w:t>
      </w:r>
      <w:r w:rsidR="00A92231">
        <w:rPr>
          <w:szCs w:val="22"/>
        </w:rPr>
        <w:t>giftige stoffer</w:t>
      </w:r>
      <w:r w:rsidR="000667A2">
        <w:rPr>
          <w:szCs w:val="22"/>
        </w:rPr>
        <w:t xml:space="preserve"> (al brandrøg indeholder giftige stoffer)</w:t>
      </w:r>
      <w:r w:rsidR="00A92231">
        <w:rPr>
          <w:szCs w:val="22"/>
        </w:rPr>
        <w:t>, samt redegøres for konsekvenserne af en spredning af disse</w:t>
      </w:r>
    </w:p>
    <w:p w14:paraId="0C33F55F" w14:textId="77777777" w:rsidR="00A92231" w:rsidRDefault="00A92231" w:rsidP="00A92231">
      <w:pPr>
        <w:ind w:right="-908"/>
        <w:jc w:val="both"/>
        <w:rPr>
          <w:szCs w:val="22"/>
        </w:rPr>
      </w:pPr>
    </w:p>
    <w:p w14:paraId="4058F4BC" w14:textId="77777777" w:rsidR="000667A2" w:rsidRDefault="00A92231" w:rsidP="00D80B14">
      <w:pPr>
        <w:ind w:right="-57"/>
        <w:jc w:val="both"/>
        <w:rPr>
          <w:szCs w:val="22"/>
        </w:rPr>
      </w:pPr>
      <w:r>
        <w:rPr>
          <w:szCs w:val="22"/>
        </w:rPr>
        <w:t>Vurdering af konsekvenser og konsekvensafstande for uheld</w:t>
      </w:r>
      <w:r w:rsidR="00952BDC">
        <w:rPr>
          <w:szCs w:val="22"/>
        </w:rPr>
        <w:t>, som følge af</w:t>
      </w:r>
      <w:r>
        <w:rPr>
          <w:szCs w:val="22"/>
        </w:rPr>
        <w:t xml:space="preserve"> brand/eksplosion </w:t>
      </w:r>
      <w:r w:rsidR="00952BDC">
        <w:rPr>
          <w:szCs w:val="22"/>
        </w:rPr>
        <w:t xml:space="preserve">bør </w:t>
      </w:r>
      <w:commentRangeStart w:id="12"/>
      <w:r>
        <w:rPr>
          <w:szCs w:val="22"/>
        </w:rPr>
        <w:t>baseres på følgende</w:t>
      </w:r>
      <w:r w:rsidR="00952BDC">
        <w:rPr>
          <w:szCs w:val="22"/>
        </w:rPr>
        <w:t xml:space="preserve"> påvirknings-niveauer</w:t>
      </w:r>
      <w:commentRangeEnd w:id="12"/>
      <w:r w:rsidR="00F47F29">
        <w:rPr>
          <w:rStyle w:val="Kommentarhenvisning"/>
        </w:rPr>
        <w:commentReference w:id="12"/>
      </w:r>
      <w:r w:rsidR="00952BDC">
        <w:rPr>
          <w:szCs w:val="22"/>
        </w:rPr>
        <w:t>.</w:t>
      </w:r>
      <w:r>
        <w:rPr>
          <w:szCs w:val="22"/>
        </w:rPr>
        <w:t xml:space="preserve"> </w:t>
      </w:r>
    </w:p>
    <w:p w14:paraId="2FB1A51E" w14:textId="77777777" w:rsidR="00A92231" w:rsidRDefault="00A92231" w:rsidP="00D80B14">
      <w:pPr>
        <w:ind w:right="-57"/>
        <w:jc w:val="both"/>
        <w:rPr>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544"/>
        <w:gridCol w:w="3544"/>
      </w:tblGrid>
      <w:tr w:rsidR="00A92231" w14:paraId="1E6C8D4D" w14:textId="77777777" w:rsidTr="00CB013A">
        <w:tc>
          <w:tcPr>
            <w:tcW w:w="1843" w:type="dxa"/>
            <w:tcBorders>
              <w:top w:val="single" w:sz="4" w:space="0" w:color="auto"/>
              <w:left w:val="single" w:sz="4" w:space="0" w:color="auto"/>
              <w:bottom w:val="single" w:sz="4" w:space="0" w:color="auto"/>
              <w:right w:val="single" w:sz="4" w:space="0" w:color="auto"/>
            </w:tcBorders>
          </w:tcPr>
          <w:p w14:paraId="4D183B0D" w14:textId="77777777" w:rsidR="00A92231" w:rsidRDefault="00A92231" w:rsidP="00CB013A">
            <w:pPr>
              <w:ind w:right="-908"/>
              <w:jc w:val="both"/>
              <w:rPr>
                <w:rFonts w:cs="Arial"/>
                <w:sz w:val="24"/>
              </w:rPr>
            </w:pPr>
            <w:r>
              <w:rPr>
                <w:rFonts w:cs="Arial"/>
              </w:rPr>
              <w:t>Påvirkningstype</w:t>
            </w:r>
          </w:p>
        </w:tc>
        <w:tc>
          <w:tcPr>
            <w:tcW w:w="3544" w:type="dxa"/>
            <w:tcBorders>
              <w:top w:val="single" w:sz="4" w:space="0" w:color="auto"/>
              <w:left w:val="single" w:sz="4" w:space="0" w:color="auto"/>
              <w:bottom w:val="single" w:sz="4" w:space="0" w:color="auto"/>
              <w:right w:val="single" w:sz="4" w:space="0" w:color="auto"/>
            </w:tcBorders>
          </w:tcPr>
          <w:p w14:paraId="359E42AE" w14:textId="77777777" w:rsidR="00A92231" w:rsidRPr="00BB4B16" w:rsidRDefault="00A92231" w:rsidP="00CB013A">
            <w:pPr>
              <w:jc w:val="both"/>
              <w:rPr>
                <w:rFonts w:cs="Arial"/>
                <w:lang w:val="sv-SE"/>
              </w:rPr>
            </w:pPr>
            <w:r w:rsidRPr="00BB4B16">
              <w:rPr>
                <w:rFonts w:cs="Arial"/>
                <w:lang w:val="sv-SE"/>
              </w:rPr>
              <w:t xml:space="preserve">Potentiel dominoeffekt </w:t>
            </w:r>
          </w:p>
          <w:p w14:paraId="1370E8B4" w14:textId="77777777" w:rsidR="00A92231" w:rsidRPr="00BB4B16" w:rsidRDefault="00A92231" w:rsidP="00CB013A">
            <w:pPr>
              <w:ind w:right="-908"/>
              <w:jc w:val="both"/>
              <w:rPr>
                <w:rFonts w:cs="Arial"/>
                <w:sz w:val="24"/>
                <w:lang w:val="sv-SE"/>
              </w:rPr>
            </w:pPr>
            <w:r w:rsidRPr="00BB4B16">
              <w:rPr>
                <w:rFonts w:cs="Arial"/>
                <w:lang w:val="sv-SE"/>
              </w:rPr>
              <w:t>(pga. materiel skade)*</w:t>
            </w:r>
          </w:p>
        </w:tc>
        <w:tc>
          <w:tcPr>
            <w:tcW w:w="3544" w:type="dxa"/>
            <w:tcBorders>
              <w:top w:val="single" w:sz="4" w:space="0" w:color="auto"/>
              <w:left w:val="single" w:sz="4" w:space="0" w:color="auto"/>
              <w:bottom w:val="single" w:sz="4" w:space="0" w:color="auto"/>
              <w:right w:val="single" w:sz="4" w:space="0" w:color="auto"/>
            </w:tcBorders>
          </w:tcPr>
          <w:p w14:paraId="6D9BEC8C" w14:textId="77777777" w:rsidR="00A92231" w:rsidRDefault="00A92231" w:rsidP="00CB013A">
            <w:pPr>
              <w:ind w:right="-908"/>
              <w:jc w:val="both"/>
              <w:rPr>
                <w:rFonts w:cs="Arial"/>
              </w:rPr>
            </w:pPr>
            <w:r>
              <w:rPr>
                <w:rFonts w:cs="Arial"/>
              </w:rPr>
              <w:t>Konsekvensafstand for større uheld</w:t>
            </w:r>
          </w:p>
          <w:p w14:paraId="11CEA8AE" w14:textId="77777777" w:rsidR="00A92231" w:rsidRDefault="00A92231" w:rsidP="00CB013A">
            <w:pPr>
              <w:jc w:val="both"/>
              <w:rPr>
                <w:rFonts w:cs="Arial"/>
              </w:rPr>
            </w:pPr>
            <w:r>
              <w:rPr>
                <w:rFonts w:cs="Arial"/>
              </w:rPr>
              <w:t>og potentiel dominoeffekt</w:t>
            </w:r>
          </w:p>
          <w:p w14:paraId="4029CB64" w14:textId="77777777" w:rsidR="00A92231" w:rsidRPr="00D83643" w:rsidRDefault="00A92231" w:rsidP="00CB013A">
            <w:pPr>
              <w:ind w:right="-908"/>
              <w:jc w:val="both"/>
              <w:rPr>
                <w:rFonts w:cs="Arial"/>
              </w:rPr>
            </w:pPr>
            <w:r>
              <w:rPr>
                <w:rFonts w:cs="Arial"/>
              </w:rPr>
              <w:t xml:space="preserve">(pga. personskade) </w:t>
            </w:r>
          </w:p>
        </w:tc>
      </w:tr>
      <w:tr w:rsidR="00A92231" w14:paraId="61B630A3" w14:textId="77777777" w:rsidTr="00CB013A">
        <w:tc>
          <w:tcPr>
            <w:tcW w:w="1843" w:type="dxa"/>
            <w:tcBorders>
              <w:top w:val="single" w:sz="4" w:space="0" w:color="auto"/>
              <w:left w:val="single" w:sz="4" w:space="0" w:color="auto"/>
              <w:bottom w:val="single" w:sz="4" w:space="0" w:color="auto"/>
              <w:right w:val="single" w:sz="4" w:space="0" w:color="auto"/>
            </w:tcBorders>
          </w:tcPr>
          <w:p w14:paraId="457591DF" w14:textId="77777777" w:rsidR="00A92231" w:rsidRDefault="00A92231" w:rsidP="00CB013A">
            <w:pPr>
              <w:jc w:val="both"/>
              <w:rPr>
                <w:rFonts w:cs="Arial"/>
                <w:sz w:val="24"/>
              </w:rPr>
            </w:pPr>
            <w:r>
              <w:rPr>
                <w:rFonts w:cs="Arial"/>
              </w:rPr>
              <w:t>Brand (varmestråling)</w:t>
            </w:r>
          </w:p>
        </w:tc>
        <w:tc>
          <w:tcPr>
            <w:tcW w:w="3544" w:type="dxa"/>
            <w:tcBorders>
              <w:top w:val="single" w:sz="4" w:space="0" w:color="auto"/>
              <w:left w:val="single" w:sz="4" w:space="0" w:color="auto"/>
              <w:bottom w:val="single" w:sz="4" w:space="0" w:color="auto"/>
              <w:right w:val="single" w:sz="4" w:space="0" w:color="auto"/>
            </w:tcBorders>
          </w:tcPr>
          <w:p w14:paraId="4A69FC1E" w14:textId="77777777" w:rsidR="00A92231" w:rsidRPr="00F2046D" w:rsidRDefault="00A92231" w:rsidP="00CB013A">
            <w:pPr>
              <w:ind w:left="-70"/>
              <w:jc w:val="both"/>
              <w:rPr>
                <w:rFonts w:cs="Arial"/>
              </w:rPr>
            </w:pPr>
            <w:r w:rsidRPr="00F2046D">
              <w:rPr>
                <w:rFonts w:cs="Arial"/>
              </w:rPr>
              <w:t>32-35 kW/m</w:t>
            </w:r>
            <w:r w:rsidRPr="00F2046D">
              <w:rPr>
                <w:rFonts w:cs="Arial"/>
                <w:vertAlign w:val="superscript"/>
              </w:rPr>
              <w:t xml:space="preserve">2 </w:t>
            </w:r>
            <w:r w:rsidRPr="00F2046D">
              <w:rPr>
                <w:rFonts w:cs="Arial"/>
              </w:rPr>
              <w:t>(kort varighed)</w:t>
            </w:r>
          </w:p>
          <w:p w14:paraId="5EF9D826" w14:textId="77777777" w:rsidR="00A92231" w:rsidRPr="006C2466" w:rsidRDefault="00A92231" w:rsidP="00CB013A">
            <w:pPr>
              <w:ind w:left="-70"/>
              <w:jc w:val="both"/>
              <w:rPr>
                <w:rFonts w:cs="Arial"/>
                <w:i/>
                <w:szCs w:val="20"/>
              </w:rPr>
            </w:pPr>
            <w:r w:rsidRPr="006C2466">
              <w:rPr>
                <w:rFonts w:cs="Arial"/>
                <w:i/>
                <w:szCs w:val="20"/>
              </w:rPr>
              <w:t>12-15 kW/m</w:t>
            </w:r>
            <w:r w:rsidRPr="00F2046D">
              <w:rPr>
                <w:rFonts w:cs="Arial"/>
                <w:i/>
                <w:szCs w:val="20"/>
                <w:vertAlign w:val="superscript"/>
              </w:rPr>
              <w:t>2</w:t>
            </w:r>
            <w:r w:rsidRPr="006C2466">
              <w:rPr>
                <w:rFonts w:cs="Arial"/>
                <w:i/>
                <w:szCs w:val="20"/>
              </w:rPr>
              <w:t xml:space="preserve"> (</w:t>
            </w:r>
            <w:r>
              <w:rPr>
                <w:rFonts w:cs="Arial"/>
                <w:i/>
                <w:szCs w:val="20"/>
              </w:rPr>
              <w:t xml:space="preserve">ved </w:t>
            </w:r>
            <w:r w:rsidRPr="006C2466">
              <w:rPr>
                <w:rFonts w:cs="Arial"/>
                <w:i/>
                <w:szCs w:val="20"/>
              </w:rPr>
              <w:t>længere varighed)</w:t>
            </w:r>
          </w:p>
        </w:tc>
        <w:tc>
          <w:tcPr>
            <w:tcW w:w="3544" w:type="dxa"/>
            <w:tcBorders>
              <w:top w:val="single" w:sz="4" w:space="0" w:color="auto"/>
              <w:left w:val="single" w:sz="4" w:space="0" w:color="auto"/>
              <w:bottom w:val="single" w:sz="4" w:space="0" w:color="auto"/>
              <w:right w:val="single" w:sz="4" w:space="0" w:color="auto"/>
            </w:tcBorders>
          </w:tcPr>
          <w:p w14:paraId="31E60E0F" w14:textId="77777777" w:rsidR="00A92231" w:rsidRPr="00223C7B" w:rsidRDefault="00A92231" w:rsidP="00885BA9">
            <w:pPr>
              <w:jc w:val="both"/>
              <w:rPr>
                <w:rFonts w:cs="Arial"/>
                <w:sz w:val="24"/>
              </w:rPr>
            </w:pPr>
            <w:r>
              <w:rPr>
                <w:rFonts w:cs="Arial"/>
              </w:rPr>
              <w:t>4-6 kW/m</w:t>
            </w:r>
            <w:r>
              <w:rPr>
                <w:rFonts w:cs="Arial"/>
                <w:vertAlign w:val="superscript"/>
              </w:rPr>
              <w:t>2</w:t>
            </w:r>
            <w:r w:rsidR="00223C7B">
              <w:rPr>
                <w:rFonts w:cs="Arial"/>
                <w:vertAlign w:val="superscript"/>
              </w:rPr>
              <w:t xml:space="preserve"> </w:t>
            </w:r>
          </w:p>
        </w:tc>
      </w:tr>
      <w:tr w:rsidR="00A92231" w14:paraId="28A6D4C1" w14:textId="77777777" w:rsidTr="00CB013A">
        <w:tc>
          <w:tcPr>
            <w:tcW w:w="1843" w:type="dxa"/>
            <w:vMerge w:val="restart"/>
            <w:tcBorders>
              <w:top w:val="single" w:sz="4" w:space="0" w:color="auto"/>
              <w:left w:val="single" w:sz="4" w:space="0" w:color="auto"/>
              <w:bottom w:val="single" w:sz="4" w:space="0" w:color="auto"/>
              <w:right w:val="single" w:sz="4" w:space="0" w:color="auto"/>
            </w:tcBorders>
          </w:tcPr>
          <w:p w14:paraId="2574B93B" w14:textId="77777777" w:rsidR="00A92231" w:rsidRDefault="00A92231" w:rsidP="00CB013A">
            <w:pPr>
              <w:jc w:val="both"/>
              <w:rPr>
                <w:rFonts w:cs="Arial"/>
                <w:sz w:val="24"/>
              </w:rPr>
            </w:pPr>
            <w:r>
              <w:rPr>
                <w:rFonts w:cs="Arial"/>
              </w:rPr>
              <w:t>Eksplosion (overtryk)</w:t>
            </w:r>
          </w:p>
        </w:tc>
        <w:tc>
          <w:tcPr>
            <w:tcW w:w="3544" w:type="dxa"/>
            <w:tcBorders>
              <w:top w:val="single" w:sz="4" w:space="0" w:color="auto"/>
              <w:left w:val="single" w:sz="4" w:space="0" w:color="auto"/>
              <w:bottom w:val="single" w:sz="4" w:space="0" w:color="auto"/>
              <w:right w:val="single" w:sz="4" w:space="0" w:color="auto"/>
            </w:tcBorders>
          </w:tcPr>
          <w:p w14:paraId="09F2C203" w14:textId="77777777" w:rsidR="00A92231" w:rsidRPr="00A569BB" w:rsidRDefault="00A92231" w:rsidP="00086489">
            <w:pPr>
              <w:jc w:val="both"/>
              <w:rPr>
                <w:rFonts w:cs="Arial"/>
                <w:i/>
                <w:sz w:val="24"/>
              </w:rPr>
            </w:pPr>
            <w:r w:rsidRPr="00A569BB">
              <w:rPr>
                <w:rFonts w:cs="Arial"/>
                <w:i/>
              </w:rPr>
              <w:t xml:space="preserve">0,2 Bar </w:t>
            </w:r>
          </w:p>
        </w:tc>
        <w:tc>
          <w:tcPr>
            <w:tcW w:w="3544" w:type="dxa"/>
            <w:tcBorders>
              <w:top w:val="single" w:sz="4" w:space="0" w:color="auto"/>
              <w:left w:val="single" w:sz="4" w:space="0" w:color="auto"/>
              <w:bottom w:val="single" w:sz="4" w:space="0" w:color="auto"/>
              <w:right w:val="single" w:sz="4" w:space="0" w:color="auto"/>
            </w:tcBorders>
          </w:tcPr>
          <w:p w14:paraId="41099BB2" w14:textId="77777777" w:rsidR="00A92231" w:rsidRDefault="00A92231" w:rsidP="00F94C66">
            <w:pPr>
              <w:jc w:val="both"/>
              <w:rPr>
                <w:rFonts w:cs="Arial"/>
                <w:sz w:val="24"/>
              </w:rPr>
            </w:pPr>
            <w:r>
              <w:rPr>
                <w:rFonts w:cs="Arial"/>
              </w:rPr>
              <w:t>0,05 Bar</w:t>
            </w:r>
          </w:p>
        </w:tc>
      </w:tr>
      <w:tr w:rsidR="00A92231" w14:paraId="36C71A7A" w14:textId="77777777" w:rsidTr="00CB013A">
        <w:tc>
          <w:tcPr>
            <w:tcW w:w="1843" w:type="dxa"/>
            <w:vMerge/>
            <w:tcBorders>
              <w:top w:val="single" w:sz="4" w:space="0" w:color="auto"/>
              <w:left w:val="single" w:sz="4" w:space="0" w:color="auto"/>
              <w:bottom w:val="single" w:sz="4" w:space="0" w:color="auto"/>
              <w:right w:val="single" w:sz="4" w:space="0" w:color="auto"/>
            </w:tcBorders>
            <w:vAlign w:val="center"/>
          </w:tcPr>
          <w:p w14:paraId="233CC8D5" w14:textId="77777777" w:rsidR="00A92231" w:rsidRDefault="00A92231" w:rsidP="00CB013A">
            <w:pPr>
              <w:jc w:val="both"/>
              <w:rPr>
                <w:rFonts w:cs="Arial"/>
                <w:sz w:val="24"/>
              </w:rPr>
            </w:pPr>
          </w:p>
        </w:tc>
        <w:tc>
          <w:tcPr>
            <w:tcW w:w="3544" w:type="dxa"/>
            <w:tcBorders>
              <w:top w:val="single" w:sz="4" w:space="0" w:color="auto"/>
              <w:left w:val="single" w:sz="4" w:space="0" w:color="auto"/>
              <w:bottom w:val="single" w:sz="4" w:space="0" w:color="auto"/>
              <w:right w:val="single" w:sz="4" w:space="0" w:color="auto"/>
            </w:tcBorders>
            <w:shd w:val="clear" w:color="auto" w:fill="A6A6A6"/>
          </w:tcPr>
          <w:p w14:paraId="6DF14940" w14:textId="77777777" w:rsidR="00A92231" w:rsidRDefault="00A92231" w:rsidP="00CB013A">
            <w:pPr>
              <w:jc w:val="both"/>
              <w:rPr>
                <w:rFonts w:cs="Arial"/>
                <w:sz w:val="24"/>
              </w:rPr>
            </w:pPr>
          </w:p>
        </w:tc>
        <w:tc>
          <w:tcPr>
            <w:tcW w:w="3544" w:type="dxa"/>
            <w:tcBorders>
              <w:top w:val="single" w:sz="4" w:space="0" w:color="auto"/>
              <w:left w:val="single" w:sz="4" w:space="0" w:color="auto"/>
              <w:bottom w:val="single" w:sz="4" w:space="0" w:color="auto"/>
              <w:right w:val="single" w:sz="4" w:space="0" w:color="auto"/>
            </w:tcBorders>
          </w:tcPr>
          <w:p w14:paraId="5C940D17" w14:textId="77777777" w:rsidR="00A92231" w:rsidRDefault="00A92231" w:rsidP="00CB013A">
            <w:pPr>
              <w:jc w:val="both"/>
              <w:rPr>
                <w:rFonts w:cs="Arial"/>
                <w:sz w:val="24"/>
              </w:rPr>
            </w:pPr>
            <w:r>
              <w:rPr>
                <w:rFonts w:cs="Arial"/>
              </w:rPr>
              <w:t>Fragmenter</w:t>
            </w:r>
          </w:p>
        </w:tc>
      </w:tr>
    </w:tbl>
    <w:p w14:paraId="0F4F7C1C" w14:textId="77777777" w:rsidR="00A92231" w:rsidRDefault="00A92231" w:rsidP="00A92231">
      <w:pPr>
        <w:ind w:right="-908"/>
        <w:jc w:val="both"/>
        <w:rPr>
          <w:szCs w:val="22"/>
        </w:rPr>
      </w:pPr>
      <w:r>
        <w:rPr>
          <w:szCs w:val="22"/>
        </w:rPr>
        <w:t xml:space="preserve">*de nævnte værdier anvendes normalt ved vurdering af risiko for skade på bygninger o.l., og tager ikke højde for evt. særlige krav til transportenheder. </w:t>
      </w:r>
    </w:p>
    <w:p w14:paraId="77590414" w14:textId="77777777" w:rsidR="00A92231" w:rsidRDefault="00A92231" w:rsidP="00A92231">
      <w:pPr>
        <w:ind w:right="-908"/>
        <w:jc w:val="both"/>
        <w:rPr>
          <w:szCs w:val="22"/>
        </w:rPr>
      </w:pPr>
    </w:p>
    <w:p w14:paraId="2CFE5F2A" w14:textId="77777777" w:rsidR="00952BDC" w:rsidRDefault="00952BDC" w:rsidP="00A92231">
      <w:pPr>
        <w:ind w:right="-908"/>
        <w:jc w:val="both"/>
        <w:rPr>
          <w:szCs w:val="22"/>
        </w:rPr>
      </w:pPr>
    </w:p>
    <w:p w14:paraId="35959750" w14:textId="77777777" w:rsidR="00A92231" w:rsidRPr="00981A2B" w:rsidRDefault="007E5BC5" w:rsidP="00D80B14">
      <w:pPr>
        <w:ind w:right="84"/>
        <w:jc w:val="both"/>
        <w:rPr>
          <w:szCs w:val="22"/>
        </w:rPr>
      </w:pPr>
      <w:r>
        <w:rPr>
          <w:szCs w:val="22"/>
        </w:rPr>
        <w:t>For scenarier med stoffer/blandinger kla</w:t>
      </w:r>
      <w:r w:rsidRPr="003B3054">
        <w:rPr>
          <w:szCs w:val="22"/>
        </w:rPr>
        <w:t xml:space="preserve">ssificeret som </w:t>
      </w:r>
      <w:r w:rsidR="00674E3A">
        <w:rPr>
          <w:b/>
          <w:szCs w:val="22"/>
        </w:rPr>
        <w:t>giftige eller miljøfarlige</w:t>
      </w:r>
      <w:r w:rsidR="00A92231" w:rsidRPr="00981A2B">
        <w:rPr>
          <w:szCs w:val="22"/>
        </w:rPr>
        <w:t xml:space="preserve"> </w:t>
      </w:r>
      <w:r>
        <w:rPr>
          <w:szCs w:val="22"/>
        </w:rPr>
        <w:t>bør</w:t>
      </w:r>
      <w:r w:rsidR="00A92231" w:rsidRPr="00981A2B">
        <w:rPr>
          <w:szCs w:val="22"/>
        </w:rPr>
        <w:t xml:space="preserve"> hændelsesforløbet efter udslip fra den primære indeslutning </w:t>
      </w:r>
      <w:r w:rsidR="007B7189">
        <w:rPr>
          <w:szCs w:val="22"/>
        </w:rPr>
        <w:t xml:space="preserve">, </w:t>
      </w:r>
      <w:r w:rsidR="00A92231" w:rsidRPr="00981A2B">
        <w:rPr>
          <w:szCs w:val="22"/>
        </w:rPr>
        <w:t>afhængig af om stoffet er fast, flydende eller luftformigt ende med:</w:t>
      </w:r>
    </w:p>
    <w:p w14:paraId="46DAB5B9" w14:textId="77777777" w:rsidR="00A92231" w:rsidRPr="00981A2B" w:rsidRDefault="00A92231" w:rsidP="00D80B14">
      <w:pPr>
        <w:numPr>
          <w:ilvl w:val="0"/>
          <w:numId w:val="15"/>
        </w:numPr>
        <w:ind w:right="84"/>
        <w:jc w:val="both"/>
        <w:rPr>
          <w:szCs w:val="22"/>
        </w:rPr>
      </w:pPr>
      <w:r w:rsidRPr="00981A2B">
        <w:rPr>
          <w:szCs w:val="22"/>
        </w:rPr>
        <w:t xml:space="preserve">Udslip til jord/grundvand/overfladevand, og der </w:t>
      </w:r>
      <w:r w:rsidR="00BB3A9B">
        <w:rPr>
          <w:szCs w:val="22"/>
        </w:rPr>
        <w:t>bør</w:t>
      </w:r>
      <w:r w:rsidRPr="00981A2B">
        <w:rPr>
          <w:szCs w:val="22"/>
        </w:rPr>
        <w:t xml:space="preserve"> redegøres for mulige konsekvenser som følge af nedsivning</w:t>
      </w:r>
      <w:r>
        <w:rPr>
          <w:szCs w:val="22"/>
        </w:rPr>
        <w:t>, evt.</w:t>
      </w:r>
      <w:r w:rsidRPr="00981A2B">
        <w:rPr>
          <w:szCs w:val="22"/>
        </w:rPr>
        <w:t xml:space="preserve"> i tilfælde af vandtilførsel (regn/brandslukning) eller ved spredning af pulver/støv som følge af vindeksponering,</w:t>
      </w:r>
    </w:p>
    <w:p w14:paraId="4F7A55FE" w14:textId="77777777" w:rsidR="00A92231" w:rsidRPr="00981A2B" w:rsidRDefault="007E5BC5" w:rsidP="00D80B14">
      <w:pPr>
        <w:numPr>
          <w:ilvl w:val="0"/>
          <w:numId w:val="15"/>
        </w:numPr>
        <w:ind w:right="84"/>
        <w:jc w:val="both"/>
        <w:rPr>
          <w:szCs w:val="22"/>
        </w:rPr>
      </w:pPr>
      <w:r>
        <w:rPr>
          <w:szCs w:val="22"/>
        </w:rPr>
        <w:t>U</w:t>
      </w:r>
      <w:r w:rsidR="00A92231" w:rsidRPr="00981A2B">
        <w:rPr>
          <w:szCs w:val="22"/>
        </w:rPr>
        <w:t>dslip til atmosfæren</w:t>
      </w:r>
      <w:r>
        <w:rPr>
          <w:szCs w:val="22"/>
        </w:rPr>
        <w:t>, herunder fordampning fra pøl,</w:t>
      </w:r>
      <w:r w:rsidR="00A92231" w:rsidRPr="00981A2B">
        <w:rPr>
          <w:szCs w:val="22"/>
        </w:rPr>
        <w:t xml:space="preserve"> efterfulgt af spredning med vinden til omgivelserne</w:t>
      </w:r>
      <w:r>
        <w:rPr>
          <w:szCs w:val="22"/>
        </w:rPr>
        <w:t>. Der bør</w:t>
      </w:r>
      <w:r w:rsidR="00A92231" w:rsidRPr="00981A2B">
        <w:rPr>
          <w:szCs w:val="22"/>
        </w:rPr>
        <w:t xml:space="preserve"> redegøres for mulige konsekvenser </w:t>
      </w:r>
      <w:r w:rsidR="00A92231">
        <w:rPr>
          <w:szCs w:val="22"/>
        </w:rPr>
        <w:t xml:space="preserve">for omgivelser, herunder om der kan opstå dominoeffekter fra uheldsstedet til andre </w:t>
      </w:r>
      <w:r w:rsidR="00E373C1">
        <w:rPr>
          <w:szCs w:val="22"/>
        </w:rPr>
        <w:t>anlæg</w:t>
      </w:r>
      <w:r w:rsidR="00A92231">
        <w:rPr>
          <w:szCs w:val="22"/>
        </w:rPr>
        <w:t>.</w:t>
      </w:r>
    </w:p>
    <w:p w14:paraId="2341DEAC" w14:textId="77777777" w:rsidR="00A92231" w:rsidRDefault="00A92231" w:rsidP="00D80B14">
      <w:pPr>
        <w:ind w:right="84"/>
        <w:jc w:val="both"/>
        <w:rPr>
          <w:szCs w:val="22"/>
        </w:rPr>
      </w:pPr>
    </w:p>
    <w:p w14:paraId="31082774" w14:textId="77777777" w:rsidR="00A92231" w:rsidRDefault="00A92231" w:rsidP="00D80B14">
      <w:pPr>
        <w:ind w:right="84"/>
        <w:jc w:val="both"/>
        <w:rPr>
          <w:szCs w:val="22"/>
        </w:rPr>
      </w:pPr>
      <w:r>
        <w:rPr>
          <w:szCs w:val="22"/>
        </w:rPr>
        <w:t xml:space="preserve">Vurdering af konsekvenser og konsekvensafstande for uheld, der kan føre til udslip af giftige stoffer </w:t>
      </w:r>
      <w:r w:rsidR="000635E9">
        <w:rPr>
          <w:szCs w:val="22"/>
        </w:rPr>
        <w:t xml:space="preserve">bør </w:t>
      </w:r>
      <w:commentRangeStart w:id="13"/>
      <w:r>
        <w:rPr>
          <w:szCs w:val="22"/>
        </w:rPr>
        <w:t xml:space="preserve">baseres på følgende </w:t>
      </w:r>
      <w:r w:rsidR="004A49D8">
        <w:rPr>
          <w:szCs w:val="22"/>
        </w:rPr>
        <w:t>konsekvens</w:t>
      </w:r>
      <w:r w:rsidR="004A49D8" w:rsidRPr="003B3054">
        <w:rPr>
          <w:szCs w:val="22"/>
        </w:rPr>
        <w:t>værdier</w:t>
      </w:r>
      <w:commentRangeEnd w:id="13"/>
      <w:r w:rsidR="00F47F29">
        <w:rPr>
          <w:rStyle w:val="Kommentarhenvisning"/>
        </w:rPr>
        <w:commentReference w:id="13"/>
      </w:r>
      <w:r>
        <w:rPr>
          <w:szCs w:val="22"/>
        </w:rPr>
        <w:t>:</w:t>
      </w:r>
    </w:p>
    <w:p w14:paraId="20DE651C" w14:textId="77777777" w:rsidR="00B5206A" w:rsidRDefault="00B5206A" w:rsidP="00D80B14">
      <w:pPr>
        <w:ind w:right="84"/>
        <w:jc w:val="both"/>
        <w:rPr>
          <w:szCs w:val="22"/>
        </w:rPr>
      </w:pPr>
    </w:p>
    <w:tbl>
      <w:tblPr>
        <w:tblW w:w="66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2"/>
        <w:gridCol w:w="4291"/>
      </w:tblGrid>
      <w:tr w:rsidR="004A49D8" w14:paraId="30805664" w14:textId="77777777" w:rsidTr="004C17C7">
        <w:tc>
          <w:tcPr>
            <w:tcW w:w="2372" w:type="dxa"/>
            <w:tcBorders>
              <w:top w:val="single" w:sz="4" w:space="0" w:color="auto"/>
              <w:left w:val="single" w:sz="4" w:space="0" w:color="auto"/>
              <w:bottom w:val="single" w:sz="4" w:space="0" w:color="auto"/>
              <w:right w:val="single" w:sz="4" w:space="0" w:color="auto"/>
            </w:tcBorders>
          </w:tcPr>
          <w:p w14:paraId="0ED9A018" w14:textId="77777777" w:rsidR="004A49D8" w:rsidRDefault="004A49D8" w:rsidP="00CB013A">
            <w:pPr>
              <w:ind w:right="-908"/>
              <w:jc w:val="both"/>
              <w:rPr>
                <w:rFonts w:cs="Arial"/>
                <w:sz w:val="24"/>
              </w:rPr>
            </w:pPr>
            <w:r>
              <w:rPr>
                <w:rFonts w:cs="Arial"/>
              </w:rPr>
              <w:t>Påvirkningstype</w:t>
            </w:r>
          </w:p>
        </w:tc>
        <w:tc>
          <w:tcPr>
            <w:tcW w:w="4291" w:type="dxa"/>
            <w:tcBorders>
              <w:top w:val="single" w:sz="4" w:space="0" w:color="auto"/>
              <w:left w:val="single" w:sz="4" w:space="0" w:color="auto"/>
              <w:bottom w:val="single" w:sz="4" w:space="0" w:color="auto"/>
              <w:right w:val="single" w:sz="4" w:space="0" w:color="auto"/>
            </w:tcBorders>
            <w:noWrap/>
          </w:tcPr>
          <w:p w14:paraId="4DDF5FAE" w14:textId="77777777" w:rsidR="00EF7F25" w:rsidRDefault="004A49D8" w:rsidP="004A49D8">
            <w:pPr>
              <w:ind w:right="-908"/>
              <w:jc w:val="both"/>
              <w:rPr>
                <w:rFonts w:cs="Arial"/>
              </w:rPr>
            </w:pPr>
            <w:r>
              <w:rPr>
                <w:rFonts w:cs="Arial"/>
              </w:rPr>
              <w:t>Konsekvensafstande fastlægges ud</w:t>
            </w:r>
          </w:p>
          <w:p w14:paraId="0D668170" w14:textId="77777777" w:rsidR="004A49D8" w:rsidRPr="00D83643" w:rsidRDefault="004A49D8" w:rsidP="004A49D8">
            <w:pPr>
              <w:ind w:right="-908"/>
              <w:jc w:val="both"/>
              <w:rPr>
                <w:rFonts w:cs="Arial"/>
              </w:rPr>
            </w:pPr>
            <w:r>
              <w:rPr>
                <w:rFonts w:cs="Arial"/>
              </w:rPr>
              <w:t xml:space="preserve">fra flg. toxicitetsværdier  </w:t>
            </w:r>
          </w:p>
        </w:tc>
      </w:tr>
      <w:tr w:rsidR="004A49D8" w14:paraId="09EE31EC" w14:textId="77777777" w:rsidTr="004C17C7">
        <w:tc>
          <w:tcPr>
            <w:tcW w:w="2372" w:type="dxa"/>
            <w:tcBorders>
              <w:top w:val="single" w:sz="4" w:space="0" w:color="auto"/>
              <w:left w:val="single" w:sz="4" w:space="0" w:color="auto"/>
              <w:bottom w:val="single" w:sz="4" w:space="0" w:color="auto"/>
              <w:right w:val="single" w:sz="4" w:space="0" w:color="auto"/>
            </w:tcBorders>
          </w:tcPr>
          <w:p w14:paraId="467F16B7" w14:textId="77777777" w:rsidR="004A49D8" w:rsidRDefault="004A49D8" w:rsidP="007E5BC5">
            <w:pPr>
              <w:ind w:right="-908"/>
              <w:jc w:val="both"/>
              <w:rPr>
                <w:rFonts w:cs="Arial"/>
              </w:rPr>
            </w:pPr>
            <w:r>
              <w:rPr>
                <w:rFonts w:cs="Arial"/>
              </w:rPr>
              <w:t>Udslip til jord</w:t>
            </w:r>
          </w:p>
        </w:tc>
        <w:tc>
          <w:tcPr>
            <w:tcW w:w="4291" w:type="dxa"/>
            <w:tcBorders>
              <w:top w:val="single" w:sz="4" w:space="0" w:color="auto"/>
              <w:left w:val="single" w:sz="4" w:space="0" w:color="auto"/>
              <w:bottom w:val="single" w:sz="4" w:space="0" w:color="auto"/>
              <w:right w:val="single" w:sz="4" w:space="0" w:color="auto"/>
            </w:tcBorders>
          </w:tcPr>
          <w:p w14:paraId="149742E6" w14:textId="77777777" w:rsidR="004A49D8" w:rsidRDefault="004A49D8" w:rsidP="00CB013A">
            <w:pPr>
              <w:ind w:right="-908"/>
              <w:rPr>
                <w:rFonts w:cs="Arial"/>
              </w:rPr>
            </w:pPr>
            <w:r>
              <w:rPr>
                <w:rFonts w:cs="Arial"/>
              </w:rPr>
              <w:t>Aftales med miljømyndighed</w:t>
            </w:r>
          </w:p>
        </w:tc>
      </w:tr>
      <w:tr w:rsidR="004A49D8" w14:paraId="4A2B1152" w14:textId="77777777" w:rsidTr="004C17C7">
        <w:tc>
          <w:tcPr>
            <w:tcW w:w="2372" w:type="dxa"/>
            <w:tcBorders>
              <w:top w:val="single" w:sz="4" w:space="0" w:color="auto"/>
              <w:left w:val="single" w:sz="4" w:space="0" w:color="auto"/>
              <w:bottom w:val="single" w:sz="4" w:space="0" w:color="auto"/>
              <w:right w:val="single" w:sz="4" w:space="0" w:color="auto"/>
            </w:tcBorders>
          </w:tcPr>
          <w:p w14:paraId="11FDDF56" w14:textId="77777777" w:rsidR="004A49D8" w:rsidRDefault="004A49D8" w:rsidP="007E5BC5">
            <w:pPr>
              <w:ind w:right="-908"/>
              <w:jc w:val="both"/>
              <w:rPr>
                <w:rFonts w:cs="Arial"/>
                <w:sz w:val="24"/>
              </w:rPr>
            </w:pPr>
            <w:r>
              <w:rPr>
                <w:rFonts w:cs="Arial"/>
              </w:rPr>
              <w:t xml:space="preserve">Sundhedsfarlige/giftige gasser </w:t>
            </w:r>
            <w:r>
              <w:rPr>
                <w:rFonts w:cs="Arial"/>
              </w:rPr>
              <w:lastRenderedPageBreak/>
              <w:t>(toxicitet) til atmosfæren</w:t>
            </w:r>
          </w:p>
        </w:tc>
        <w:tc>
          <w:tcPr>
            <w:tcW w:w="4291" w:type="dxa"/>
            <w:tcBorders>
              <w:top w:val="single" w:sz="4" w:space="0" w:color="auto"/>
              <w:left w:val="single" w:sz="4" w:space="0" w:color="auto"/>
              <w:bottom w:val="single" w:sz="4" w:space="0" w:color="auto"/>
              <w:right w:val="single" w:sz="4" w:space="0" w:color="auto"/>
            </w:tcBorders>
          </w:tcPr>
          <w:p w14:paraId="536DAD59" w14:textId="77777777" w:rsidR="004A49D8" w:rsidRDefault="004A49D8" w:rsidP="00CB013A">
            <w:pPr>
              <w:ind w:right="-908"/>
              <w:rPr>
                <w:rFonts w:cs="Arial"/>
              </w:rPr>
            </w:pPr>
            <w:r>
              <w:rPr>
                <w:rFonts w:cs="Arial"/>
              </w:rPr>
              <w:lastRenderedPageBreak/>
              <w:t>Dimensionerende uheld: LC1 eller LC10*</w:t>
            </w:r>
          </w:p>
          <w:p w14:paraId="31A017A2" w14:textId="77777777" w:rsidR="004A49D8" w:rsidRDefault="004A49D8" w:rsidP="00CB013A">
            <w:pPr>
              <w:ind w:right="-908"/>
              <w:rPr>
                <w:rFonts w:cs="Arial"/>
              </w:rPr>
            </w:pPr>
            <w:r>
              <w:rPr>
                <w:rFonts w:cs="Arial"/>
              </w:rPr>
              <w:lastRenderedPageBreak/>
              <w:t>Maks konsekvensafstand: AEGL 3 (30 min)</w:t>
            </w:r>
          </w:p>
          <w:p w14:paraId="65B775B2" w14:textId="77777777" w:rsidR="004A49D8" w:rsidRDefault="004A49D8" w:rsidP="00B5206A">
            <w:pPr>
              <w:ind w:left="-14" w:right="-908"/>
              <w:rPr>
                <w:rFonts w:cs="Arial"/>
                <w:sz w:val="24"/>
              </w:rPr>
            </w:pPr>
            <w:r>
              <w:rPr>
                <w:rFonts w:cs="Arial"/>
              </w:rPr>
              <w:t xml:space="preserve">Beredskabsplanlægning: AEGL2 </w:t>
            </w:r>
          </w:p>
        </w:tc>
      </w:tr>
    </w:tbl>
    <w:p w14:paraId="71444097" w14:textId="77777777" w:rsidR="00A92231" w:rsidRPr="005B70F3" w:rsidRDefault="00A92231" w:rsidP="00A92231">
      <w:pPr>
        <w:pStyle w:val="Listeafsnit"/>
        <w:ind w:left="0" w:right="-908"/>
        <w:jc w:val="both"/>
        <w:rPr>
          <w:sz w:val="16"/>
          <w:szCs w:val="16"/>
        </w:rPr>
      </w:pPr>
      <w:r w:rsidRPr="005B70F3">
        <w:rPr>
          <w:sz w:val="16"/>
          <w:szCs w:val="16"/>
        </w:rPr>
        <w:lastRenderedPageBreak/>
        <w:t>*For uheldssandsynlighed &gt;10</w:t>
      </w:r>
      <w:r w:rsidRPr="005B70F3">
        <w:rPr>
          <w:sz w:val="16"/>
          <w:szCs w:val="16"/>
          <w:vertAlign w:val="superscript"/>
        </w:rPr>
        <w:t>-4</w:t>
      </w:r>
      <w:r w:rsidRPr="005B70F3">
        <w:rPr>
          <w:sz w:val="16"/>
          <w:szCs w:val="16"/>
        </w:rPr>
        <w:t xml:space="preserve"> anvendes LC1. For uheldssandsynlighed på ≥10</w:t>
      </w:r>
      <w:r w:rsidRPr="005B70F3">
        <w:rPr>
          <w:sz w:val="16"/>
          <w:szCs w:val="16"/>
          <w:vertAlign w:val="superscript"/>
        </w:rPr>
        <w:t>-5</w:t>
      </w:r>
      <w:r w:rsidRPr="005B70F3">
        <w:rPr>
          <w:sz w:val="16"/>
          <w:szCs w:val="16"/>
        </w:rPr>
        <w:t xml:space="preserve"> anvendes LC10.</w:t>
      </w:r>
    </w:p>
    <w:p w14:paraId="626EDDD6" w14:textId="77777777" w:rsidR="00A92231" w:rsidRDefault="00A92231" w:rsidP="00A92231">
      <w:pPr>
        <w:ind w:right="-908"/>
        <w:jc w:val="both"/>
        <w:rPr>
          <w:szCs w:val="22"/>
        </w:rPr>
      </w:pPr>
    </w:p>
    <w:p w14:paraId="524133AE" w14:textId="77777777" w:rsidR="00A92231" w:rsidRDefault="007E5BC5" w:rsidP="00D80B14">
      <w:pPr>
        <w:ind w:right="84"/>
        <w:jc w:val="both"/>
        <w:rPr>
          <w:szCs w:val="22"/>
        </w:rPr>
      </w:pPr>
      <w:r>
        <w:rPr>
          <w:szCs w:val="22"/>
        </w:rPr>
        <w:t>For scenarier med stoffer/blandinger, som er kla</w:t>
      </w:r>
      <w:r w:rsidRPr="003B3054">
        <w:rPr>
          <w:szCs w:val="22"/>
        </w:rPr>
        <w:t xml:space="preserve">ssificeret </w:t>
      </w:r>
      <w:r w:rsidR="00A92231" w:rsidRPr="005B70F3">
        <w:rPr>
          <w:b/>
          <w:i/>
          <w:szCs w:val="22"/>
        </w:rPr>
        <w:t>miljøfarlig</w:t>
      </w:r>
      <w:r>
        <w:rPr>
          <w:b/>
          <w:i/>
          <w:szCs w:val="22"/>
        </w:rPr>
        <w:t xml:space="preserve">e </w:t>
      </w:r>
      <w:r w:rsidR="00A92231" w:rsidRPr="005B70F3">
        <w:rPr>
          <w:b/>
          <w:i/>
          <w:szCs w:val="22"/>
        </w:rPr>
        <w:t>for vandmiljøet</w:t>
      </w:r>
      <w:r w:rsidR="00A92231" w:rsidRPr="005B70F3">
        <w:rPr>
          <w:b/>
          <w:szCs w:val="22"/>
        </w:rPr>
        <w:t>,</w:t>
      </w:r>
      <w:r w:rsidR="00A92231" w:rsidRPr="005B70F3">
        <w:rPr>
          <w:szCs w:val="22"/>
        </w:rPr>
        <w:t xml:space="preserve"> </w:t>
      </w:r>
      <w:r>
        <w:rPr>
          <w:szCs w:val="22"/>
        </w:rPr>
        <w:t>bør</w:t>
      </w:r>
      <w:r w:rsidR="00A92231" w:rsidRPr="005B70F3">
        <w:rPr>
          <w:szCs w:val="22"/>
        </w:rPr>
        <w:t xml:space="preserve"> hændelsesforløbet ende med udslip direkte til vandmiljøet omkring virksomheden (vandløb, søer, grundvand ol.) eller indirekte via kommunale regnvands- og spildvandsledninger.</w:t>
      </w:r>
      <w:r w:rsidR="003648C9">
        <w:rPr>
          <w:szCs w:val="22"/>
        </w:rPr>
        <w:t xml:space="preserve"> Her bør miljømyndigheden kontaktes, når scenarierne er fastlagt, da det </w:t>
      </w:r>
      <w:r w:rsidR="007B7189">
        <w:rPr>
          <w:szCs w:val="22"/>
        </w:rPr>
        <w:t xml:space="preserve">er </w:t>
      </w:r>
      <w:r w:rsidR="003648C9">
        <w:rPr>
          <w:szCs w:val="22"/>
        </w:rPr>
        <w:t xml:space="preserve">vanskeligt at komme med forslag til niveauer for beregning af konsekvenser, da følsomheden af den muligt påvirkede natur kan være meget forskellig. </w:t>
      </w:r>
    </w:p>
    <w:p w14:paraId="2A688B5B" w14:textId="77777777" w:rsidR="00A92231" w:rsidRDefault="00A92231" w:rsidP="00D80B14">
      <w:pPr>
        <w:ind w:right="84"/>
        <w:jc w:val="both"/>
        <w:rPr>
          <w:szCs w:val="22"/>
        </w:rPr>
      </w:pPr>
    </w:p>
    <w:p w14:paraId="07B6E02E" w14:textId="77777777" w:rsidR="00A92231" w:rsidRDefault="00A92231" w:rsidP="00D80B14">
      <w:pPr>
        <w:ind w:right="84"/>
        <w:jc w:val="both"/>
        <w:rPr>
          <w:szCs w:val="22"/>
        </w:rPr>
      </w:pPr>
      <w:r w:rsidRPr="005B70F3">
        <w:rPr>
          <w:szCs w:val="22"/>
        </w:rPr>
        <w:t xml:space="preserve">I lighed med ovenstående </w:t>
      </w:r>
      <w:r w:rsidR="007E5BC5">
        <w:rPr>
          <w:szCs w:val="22"/>
        </w:rPr>
        <w:t>bør</w:t>
      </w:r>
      <w:r w:rsidRPr="005B70F3">
        <w:rPr>
          <w:szCs w:val="22"/>
        </w:rPr>
        <w:t xml:space="preserve"> der også opstilles scenarier for håndteringen af </w:t>
      </w:r>
      <w:r w:rsidRPr="00B32FEA">
        <w:rPr>
          <w:b/>
          <w:szCs w:val="22"/>
        </w:rPr>
        <w:t>indsatsvan</w:t>
      </w:r>
      <w:r w:rsidRPr="004A49D8">
        <w:rPr>
          <w:b/>
          <w:szCs w:val="22"/>
        </w:rPr>
        <w:t>d</w:t>
      </w:r>
      <w:r w:rsidRPr="005B70F3">
        <w:rPr>
          <w:szCs w:val="22"/>
        </w:rPr>
        <w:t xml:space="preserve"> anvendt i forbindelse med begrænsningen af konsekvenser i de opstillede scenarier for større uheld med stoffer/produkter. Indsatsvand skal som minimum antages at have klassificeringen </w:t>
      </w:r>
      <w:r w:rsidRPr="005B70F3">
        <w:rPr>
          <w:i/>
          <w:szCs w:val="22"/>
        </w:rPr>
        <w:t>miljøfarlig</w:t>
      </w:r>
      <w:r w:rsidRPr="005B70F3">
        <w:rPr>
          <w:szCs w:val="22"/>
        </w:rPr>
        <w:t xml:space="preserve"> med risikosætning </w:t>
      </w:r>
      <w:r w:rsidRPr="005B70F3">
        <w:rPr>
          <w:i/>
          <w:szCs w:val="22"/>
        </w:rPr>
        <w:t>meget farlig for vandmiljøet</w:t>
      </w:r>
      <w:r w:rsidRPr="005B70F3">
        <w:rPr>
          <w:szCs w:val="22"/>
        </w:rPr>
        <w:t>.</w:t>
      </w:r>
    </w:p>
    <w:p w14:paraId="0DC2E815" w14:textId="77777777" w:rsidR="00F47F29" w:rsidRDefault="00F47F29" w:rsidP="00F47F29">
      <w:pPr>
        <w:ind w:right="84"/>
        <w:jc w:val="both"/>
        <w:rPr>
          <w:szCs w:val="22"/>
        </w:rPr>
      </w:pPr>
    </w:p>
    <w:p w14:paraId="094E16EB" w14:textId="77777777" w:rsidR="00F47F29" w:rsidRDefault="00F47F29" w:rsidP="00F47F29">
      <w:pPr>
        <w:jc w:val="both"/>
        <w:rPr>
          <w:szCs w:val="22"/>
        </w:rPr>
      </w:pPr>
      <w:r>
        <w:rPr>
          <w:szCs w:val="22"/>
        </w:rPr>
        <w:t>Virksomheden bør endvidere forholde sig til muligheden for følgeuheld på egne anlæg (intern dominoeffekt).</w:t>
      </w:r>
    </w:p>
    <w:p w14:paraId="13D1EC12" w14:textId="77777777" w:rsidR="00CF4BFA" w:rsidRDefault="00CF4BFA" w:rsidP="00D80B14">
      <w:pPr>
        <w:ind w:right="84"/>
        <w:jc w:val="both"/>
        <w:rPr>
          <w:szCs w:val="22"/>
        </w:rPr>
      </w:pPr>
    </w:p>
    <w:p w14:paraId="775A38F1" w14:textId="77777777" w:rsidR="00EF5DD3" w:rsidRPr="00EF5DD3" w:rsidRDefault="00EF5DD3" w:rsidP="00D80B14">
      <w:pPr>
        <w:suppressAutoHyphens w:val="0"/>
        <w:ind w:right="84"/>
        <w:jc w:val="both"/>
        <w:rPr>
          <w:rFonts w:cs="Arial"/>
          <w:b/>
          <w:bCs/>
          <w:szCs w:val="20"/>
        </w:rPr>
      </w:pPr>
      <w:r w:rsidRPr="00EF5DD3">
        <w:rPr>
          <w:rFonts w:cs="Arial"/>
          <w:b/>
          <w:bCs/>
          <w:szCs w:val="20"/>
        </w:rPr>
        <w:t>Afbildning af konsekvensafstande</w:t>
      </w:r>
    </w:p>
    <w:p w14:paraId="5B475D8D" w14:textId="77777777" w:rsidR="003032FE" w:rsidRDefault="003A014D" w:rsidP="00D80B14">
      <w:pPr>
        <w:suppressAutoHyphens w:val="0"/>
        <w:ind w:right="84"/>
        <w:jc w:val="both"/>
        <w:rPr>
          <w:rFonts w:cs="Arial"/>
          <w:bCs/>
          <w:szCs w:val="20"/>
        </w:rPr>
      </w:pPr>
      <w:r w:rsidRPr="00967031">
        <w:rPr>
          <w:rFonts w:cs="Arial"/>
          <w:bCs/>
          <w:szCs w:val="20"/>
        </w:rPr>
        <w:t>Konsekvensafstande inkl. afstande for potentiel dominoeffekt afbildes for hvert scenario som kurver på et kort i passende målestok omkring virksomheden.</w:t>
      </w:r>
      <w:r>
        <w:rPr>
          <w:rFonts w:cs="Arial"/>
          <w:bCs/>
          <w:szCs w:val="20"/>
        </w:rPr>
        <w:t xml:space="preserve"> Endvidere afbildes </w:t>
      </w:r>
      <w:r w:rsidR="00BB3A9B">
        <w:rPr>
          <w:rFonts w:cs="Arial"/>
          <w:bCs/>
          <w:szCs w:val="20"/>
        </w:rPr>
        <w:t>to</w:t>
      </w:r>
      <w:r>
        <w:rPr>
          <w:rFonts w:cs="Arial"/>
          <w:bCs/>
          <w:szCs w:val="20"/>
        </w:rPr>
        <w:t xml:space="preserve"> foreningskurve</w:t>
      </w:r>
      <w:r w:rsidR="00BB3A9B">
        <w:rPr>
          <w:rFonts w:cs="Arial"/>
          <w:bCs/>
          <w:szCs w:val="20"/>
        </w:rPr>
        <w:t>r</w:t>
      </w:r>
      <w:r>
        <w:rPr>
          <w:rFonts w:cs="Arial"/>
          <w:bCs/>
          <w:szCs w:val="20"/>
        </w:rPr>
        <w:t xml:space="preserve"> </w:t>
      </w:r>
      <w:r w:rsidR="00BB3A9B">
        <w:rPr>
          <w:rFonts w:cs="Arial"/>
          <w:bCs/>
          <w:szCs w:val="20"/>
        </w:rPr>
        <w:t>for</w:t>
      </w:r>
      <w:r>
        <w:rPr>
          <w:rFonts w:cs="Arial"/>
          <w:bCs/>
          <w:szCs w:val="20"/>
        </w:rPr>
        <w:t xml:space="preserve"> </w:t>
      </w:r>
      <w:r w:rsidR="00BB3A9B">
        <w:rPr>
          <w:rFonts w:cs="Arial"/>
          <w:bCs/>
          <w:szCs w:val="20"/>
        </w:rPr>
        <w:t xml:space="preserve">hhv. </w:t>
      </w:r>
      <w:r w:rsidR="003648C9">
        <w:rPr>
          <w:rFonts w:cs="Arial"/>
          <w:bCs/>
          <w:szCs w:val="20"/>
        </w:rPr>
        <w:t xml:space="preserve">dimensionerende og </w:t>
      </w:r>
      <w:r>
        <w:rPr>
          <w:rFonts w:cs="Arial"/>
          <w:bCs/>
          <w:szCs w:val="20"/>
        </w:rPr>
        <w:t>maksimale konsekvensafstande</w:t>
      </w:r>
      <w:r w:rsidR="00B5206A">
        <w:rPr>
          <w:rFonts w:cs="Arial"/>
          <w:bCs/>
          <w:szCs w:val="20"/>
        </w:rPr>
        <w:t xml:space="preserve">. Foreningskurven er en </w:t>
      </w:r>
      <w:r w:rsidR="00EF5DD3">
        <w:rPr>
          <w:rFonts w:cs="Arial"/>
          <w:bCs/>
          <w:szCs w:val="20"/>
        </w:rPr>
        <w:t>kontur</w:t>
      </w:r>
      <w:r w:rsidR="00B5206A">
        <w:rPr>
          <w:rFonts w:cs="Arial"/>
          <w:bCs/>
          <w:szCs w:val="20"/>
        </w:rPr>
        <w:t>,</w:t>
      </w:r>
      <w:r>
        <w:rPr>
          <w:rFonts w:cs="Arial"/>
          <w:bCs/>
          <w:szCs w:val="20"/>
        </w:rPr>
        <w:t xml:space="preserve"> </w:t>
      </w:r>
      <w:r w:rsidR="00BB3A9B">
        <w:rPr>
          <w:rFonts w:cs="Arial"/>
          <w:bCs/>
          <w:szCs w:val="20"/>
        </w:rPr>
        <w:t>der viser det samlede område</w:t>
      </w:r>
      <w:r w:rsidR="00B5206A">
        <w:rPr>
          <w:rFonts w:cs="Arial"/>
          <w:bCs/>
          <w:szCs w:val="20"/>
        </w:rPr>
        <w:t>, der kan påvirkes ved større uheld</w:t>
      </w:r>
      <w:r w:rsidR="00BB3A9B">
        <w:rPr>
          <w:rFonts w:cs="Arial"/>
          <w:bCs/>
          <w:szCs w:val="20"/>
        </w:rPr>
        <w:t xml:space="preserve">, </w:t>
      </w:r>
      <w:r w:rsidR="00B5206A">
        <w:rPr>
          <w:rFonts w:cs="Arial"/>
          <w:bCs/>
          <w:szCs w:val="20"/>
        </w:rPr>
        <w:t>uanset om påvirkningen skyldes brand, eksplosion, eksplosive dampe/gasser eller sundhedsfarlige/giftige dampe/gasser</w:t>
      </w:r>
      <w:r>
        <w:rPr>
          <w:rFonts w:cs="Arial"/>
          <w:bCs/>
          <w:szCs w:val="20"/>
        </w:rPr>
        <w:t>.</w:t>
      </w:r>
      <w:r w:rsidR="003032FE">
        <w:rPr>
          <w:rFonts w:cs="Arial"/>
          <w:bCs/>
          <w:szCs w:val="20"/>
        </w:rPr>
        <w:t xml:space="preserve"> </w:t>
      </w:r>
    </w:p>
    <w:p w14:paraId="5BDCC88E" w14:textId="77777777" w:rsidR="005C5031" w:rsidRPr="00967031" w:rsidRDefault="005C5031" w:rsidP="00D80B14">
      <w:pPr>
        <w:suppressAutoHyphens w:val="0"/>
        <w:ind w:right="84"/>
        <w:jc w:val="both"/>
        <w:rPr>
          <w:rFonts w:cs="Arial"/>
          <w:bCs/>
          <w:szCs w:val="20"/>
        </w:rPr>
      </w:pPr>
    </w:p>
    <w:p w14:paraId="4006E3BA" w14:textId="77777777" w:rsidR="003A014D" w:rsidRDefault="00287B90" w:rsidP="00D80B14">
      <w:pPr>
        <w:ind w:right="84"/>
        <w:jc w:val="both"/>
        <w:rPr>
          <w:szCs w:val="22"/>
        </w:rPr>
      </w:pPr>
      <w:r>
        <w:rPr>
          <w:szCs w:val="22"/>
        </w:rPr>
        <w:t xml:space="preserve"> </w:t>
      </w:r>
      <w:r w:rsidR="00401738">
        <w:rPr>
          <w:noProof/>
          <w:szCs w:val="22"/>
        </w:rPr>
        <w:drawing>
          <wp:inline distT="0" distB="0" distL="0" distR="0" wp14:anchorId="54D90D15" wp14:editId="25D7B27A">
            <wp:extent cx="2910205" cy="2305685"/>
            <wp:effectExtent l="19050" t="0" r="4445" b="0"/>
            <wp:docPr id="1" name="fancybox-img" descr=" Kortet viser, skadesafstanden for overtryk (50 mbar) ved det værst tænkelige uheld på havneterminalen. Ved et overtryk på 50 mbar kan folk, ifølge EU's tærskelværdier blive skadet både direkte af overtrykket og indirekte af smadret glas eller andre bygningsdele. Men skaderne vil ikke være livstruende.  Byudviklingsområdet, Frederecia C, er markeret med gult.  (Illustration: Miljøcenter Odense/Ulrik Anders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descr=" Kortet viser, skadesafstanden for overtryk (50 mbar) ved det værst tænkelige uheld på havneterminalen. Ved et overtryk på 50 mbar kan folk, ifølge EU's tærskelværdier blive skadet både direkte af overtrykket og indirekte af smadret glas eller andre bygningsdele. Men skaderne vil ikke være livstruende.  Byudviklingsområdet, Frederecia C, er markeret med gult.  (Illustration: Miljøcenter Odense/Ulrik Andersen) "/>
                    <pic:cNvPicPr>
                      <a:picLocks noChangeAspect="1" noChangeArrowheads="1"/>
                    </pic:cNvPicPr>
                  </pic:nvPicPr>
                  <pic:blipFill>
                    <a:blip r:embed="rId12" cstate="print"/>
                    <a:srcRect l="1131" t="10419" r="24580" b="17084"/>
                    <a:stretch>
                      <a:fillRect/>
                    </a:stretch>
                  </pic:blipFill>
                  <pic:spPr bwMode="auto">
                    <a:xfrm>
                      <a:off x="0" y="0"/>
                      <a:ext cx="2910205" cy="2305685"/>
                    </a:xfrm>
                    <a:prstGeom prst="rect">
                      <a:avLst/>
                    </a:prstGeom>
                    <a:noFill/>
                    <a:ln w="9525">
                      <a:noFill/>
                      <a:miter lim="800000"/>
                      <a:headEnd/>
                      <a:tailEnd/>
                    </a:ln>
                  </pic:spPr>
                </pic:pic>
              </a:graphicData>
            </a:graphic>
          </wp:inline>
        </w:drawing>
      </w:r>
    </w:p>
    <w:p w14:paraId="635B1EE0" w14:textId="77777777" w:rsidR="003935EC" w:rsidRPr="00FD5FFA" w:rsidRDefault="003935EC" w:rsidP="008708AB">
      <w:pPr>
        <w:jc w:val="both"/>
        <w:rPr>
          <w:szCs w:val="22"/>
          <w:u w:val="single"/>
        </w:rPr>
      </w:pPr>
    </w:p>
    <w:p w14:paraId="39BC5C14" w14:textId="77777777" w:rsidR="00A92231" w:rsidRDefault="00FD5FFA" w:rsidP="008708AB">
      <w:pPr>
        <w:jc w:val="both"/>
        <w:rPr>
          <w:b/>
          <w:szCs w:val="22"/>
        </w:rPr>
      </w:pPr>
      <w:r>
        <w:rPr>
          <w:b/>
          <w:szCs w:val="22"/>
        </w:rPr>
        <w:t xml:space="preserve">Hvornår bør der laves en kvantitativ </w:t>
      </w:r>
      <w:r w:rsidR="00A92231" w:rsidRPr="00A92231">
        <w:rPr>
          <w:b/>
          <w:szCs w:val="22"/>
        </w:rPr>
        <w:t>risikoanalyse</w:t>
      </w:r>
      <w:r>
        <w:rPr>
          <w:b/>
          <w:szCs w:val="22"/>
        </w:rPr>
        <w:t>?</w:t>
      </w:r>
    </w:p>
    <w:p w14:paraId="0A2549E7" w14:textId="77777777" w:rsidR="00FD5FFA" w:rsidRPr="00FD5FFA" w:rsidRDefault="00FD5FFA" w:rsidP="00FD5FFA">
      <w:pPr>
        <w:jc w:val="both"/>
        <w:rPr>
          <w:szCs w:val="22"/>
        </w:rPr>
      </w:pPr>
      <w:r w:rsidRPr="00FD5FFA">
        <w:rPr>
          <w:szCs w:val="22"/>
        </w:rPr>
        <w:t xml:space="preserve">Hvis begge konsekvensafstande ligger inden for virksomhedens skel, </w:t>
      </w:r>
      <w:r w:rsidR="00EF5DD3">
        <w:rPr>
          <w:szCs w:val="22"/>
        </w:rPr>
        <w:t xml:space="preserve">anses det ikke for sandsynligt, at </w:t>
      </w:r>
      <w:r w:rsidRPr="00FD5FFA">
        <w:rPr>
          <w:szCs w:val="22"/>
        </w:rPr>
        <w:t>uheld på virksomheden medføre</w:t>
      </w:r>
      <w:r w:rsidR="00EF5DD3">
        <w:rPr>
          <w:szCs w:val="22"/>
        </w:rPr>
        <w:t>r</w:t>
      </w:r>
      <w:r w:rsidRPr="00FD5FFA">
        <w:rPr>
          <w:szCs w:val="22"/>
        </w:rPr>
        <w:t xml:space="preserve"> uhelbredelige personskader i omgivelserne, og der er normalt ikke behov for at foretage yderligere analyser.</w:t>
      </w:r>
    </w:p>
    <w:p w14:paraId="5390E634" w14:textId="77777777" w:rsidR="00FD5FFA" w:rsidRPr="00FD5FFA" w:rsidRDefault="00FD5FFA" w:rsidP="00FD5FFA">
      <w:pPr>
        <w:jc w:val="both"/>
        <w:rPr>
          <w:szCs w:val="22"/>
        </w:rPr>
      </w:pPr>
    </w:p>
    <w:p w14:paraId="78DC3713" w14:textId="77777777" w:rsidR="00FD5FFA" w:rsidRPr="00FD5FFA" w:rsidRDefault="00FD5FFA" w:rsidP="00FD5FFA">
      <w:pPr>
        <w:jc w:val="both"/>
        <w:rPr>
          <w:szCs w:val="22"/>
        </w:rPr>
      </w:pPr>
      <w:r w:rsidRPr="00FD5FFA">
        <w:rPr>
          <w:szCs w:val="22"/>
        </w:rPr>
        <w:t>Hvis en af konsekvensafstandene går uden for skel foretages supplerende analyser afhængig af, om afstandene skyldes brand/eksplosion eller udslip af giftige gasser.</w:t>
      </w:r>
    </w:p>
    <w:p w14:paraId="3339BA1B" w14:textId="77777777" w:rsidR="00FD5FFA" w:rsidRPr="00FD5FFA" w:rsidRDefault="00FD5FFA" w:rsidP="00FD5FFA">
      <w:pPr>
        <w:jc w:val="both"/>
        <w:rPr>
          <w:szCs w:val="22"/>
        </w:rPr>
      </w:pPr>
    </w:p>
    <w:p w14:paraId="48A56E5B" w14:textId="77777777" w:rsidR="00FD5FFA" w:rsidRPr="00A92231" w:rsidRDefault="008708AB" w:rsidP="008708AB">
      <w:pPr>
        <w:jc w:val="both"/>
        <w:rPr>
          <w:i/>
          <w:szCs w:val="22"/>
          <w:u w:val="single"/>
        </w:rPr>
      </w:pPr>
      <w:r w:rsidRPr="00A92231">
        <w:rPr>
          <w:i/>
          <w:szCs w:val="22"/>
          <w:u w:val="single"/>
        </w:rPr>
        <w:lastRenderedPageBreak/>
        <w:t>Brand/eksplosion</w:t>
      </w:r>
    </w:p>
    <w:p w14:paraId="0D877D04" w14:textId="77777777" w:rsidR="00E91A59" w:rsidRDefault="008708AB" w:rsidP="008708AB">
      <w:pPr>
        <w:jc w:val="both"/>
        <w:rPr>
          <w:szCs w:val="22"/>
        </w:rPr>
      </w:pPr>
      <w:r>
        <w:rPr>
          <w:szCs w:val="22"/>
        </w:rPr>
        <w:t>Hvis konsekvensafstand for dimensionerende uheld går uden for skel, og der ligger boliger eller lign. følsom arealanvendelse i området, så vil det som udgangspunkt være nødvendigt at beregne både</w:t>
      </w:r>
      <w:r w:rsidR="00E91A59">
        <w:rPr>
          <w:szCs w:val="22"/>
        </w:rPr>
        <w:t>:</w:t>
      </w:r>
    </w:p>
    <w:p w14:paraId="21D3C1C5" w14:textId="77777777" w:rsidR="00E91A59" w:rsidRDefault="00E91A59" w:rsidP="008708AB">
      <w:pPr>
        <w:jc w:val="both"/>
        <w:rPr>
          <w:szCs w:val="22"/>
        </w:rPr>
      </w:pPr>
    </w:p>
    <w:p w14:paraId="53BD68B3" w14:textId="77777777" w:rsidR="00E91A59" w:rsidRPr="00E91A59" w:rsidRDefault="008708AB" w:rsidP="00E91A59">
      <w:pPr>
        <w:pStyle w:val="Listeafsnit"/>
        <w:numPr>
          <w:ilvl w:val="0"/>
          <w:numId w:val="13"/>
        </w:numPr>
        <w:jc w:val="both"/>
        <w:rPr>
          <w:szCs w:val="22"/>
        </w:rPr>
      </w:pPr>
      <w:r w:rsidRPr="00E91A59">
        <w:rPr>
          <w:i/>
          <w:szCs w:val="22"/>
        </w:rPr>
        <w:t>den</w:t>
      </w:r>
      <w:r w:rsidRPr="00E91A59">
        <w:rPr>
          <w:szCs w:val="22"/>
        </w:rPr>
        <w:t xml:space="preserve"> </w:t>
      </w:r>
      <w:r w:rsidRPr="00E91A59">
        <w:rPr>
          <w:i/>
          <w:iCs/>
          <w:szCs w:val="22"/>
        </w:rPr>
        <w:t xml:space="preserve">stedbundne individuelle risiko og </w:t>
      </w:r>
    </w:p>
    <w:p w14:paraId="24667578" w14:textId="77777777" w:rsidR="008708AB" w:rsidRPr="00E91A59" w:rsidRDefault="008708AB" w:rsidP="00E91A59">
      <w:pPr>
        <w:pStyle w:val="Listeafsnit"/>
        <w:numPr>
          <w:ilvl w:val="0"/>
          <w:numId w:val="13"/>
        </w:numPr>
        <w:jc w:val="both"/>
        <w:rPr>
          <w:szCs w:val="22"/>
        </w:rPr>
      </w:pPr>
      <w:r w:rsidRPr="00E91A59">
        <w:rPr>
          <w:i/>
          <w:iCs/>
          <w:szCs w:val="22"/>
        </w:rPr>
        <w:t>den samfundsmæssige risiko</w:t>
      </w:r>
      <w:r w:rsidRPr="00E91A59">
        <w:rPr>
          <w:szCs w:val="22"/>
        </w:rPr>
        <w:t>.</w:t>
      </w:r>
    </w:p>
    <w:p w14:paraId="09B5394A" w14:textId="77777777" w:rsidR="008708AB" w:rsidRDefault="008708AB" w:rsidP="008708AB">
      <w:pPr>
        <w:jc w:val="both"/>
        <w:rPr>
          <w:szCs w:val="22"/>
        </w:rPr>
      </w:pPr>
    </w:p>
    <w:p w14:paraId="0863844F" w14:textId="77777777" w:rsidR="008708AB" w:rsidRDefault="008708AB" w:rsidP="008708AB">
      <w:pPr>
        <w:jc w:val="both"/>
        <w:rPr>
          <w:szCs w:val="22"/>
        </w:rPr>
      </w:pPr>
      <w:r>
        <w:rPr>
          <w:szCs w:val="22"/>
        </w:rPr>
        <w:t>Hvis kun den maksimale konsekvensafstand går uden for virksomhedens skel, så kan større uheld i sjældne tilfælde påvirke omgivelserne. Hvis der samtidig kun kan opholde sig et begrænset antal personer</w:t>
      </w:r>
      <w:r w:rsidR="0015248C">
        <w:rPr>
          <w:szCs w:val="22"/>
        </w:rPr>
        <w:t xml:space="preserve"> </w:t>
      </w:r>
      <w:r>
        <w:rPr>
          <w:szCs w:val="22"/>
        </w:rPr>
        <w:t xml:space="preserve">inden for den maksimale konsekvensafstand, så kan det overvejes, </w:t>
      </w:r>
      <w:r w:rsidR="0015248C">
        <w:rPr>
          <w:szCs w:val="22"/>
        </w:rPr>
        <w:t xml:space="preserve">om det er nødvendigt at </w:t>
      </w:r>
      <w:r>
        <w:rPr>
          <w:szCs w:val="22"/>
        </w:rPr>
        <w:t xml:space="preserve">beregne den </w:t>
      </w:r>
      <w:r w:rsidRPr="00E24C1A">
        <w:rPr>
          <w:i/>
          <w:iCs/>
          <w:szCs w:val="22"/>
        </w:rPr>
        <w:t>samfundsmæssige risiko</w:t>
      </w:r>
      <w:r w:rsidRPr="00246225">
        <w:rPr>
          <w:iCs/>
          <w:szCs w:val="22"/>
        </w:rPr>
        <w:t xml:space="preserve">, specielt hvis de opholder sig </w:t>
      </w:r>
      <w:r>
        <w:rPr>
          <w:iCs/>
          <w:szCs w:val="22"/>
        </w:rPr>
        <w:t>i</w:t>
      </w:r>
      <w:r w:rsidRPr="00246225">
        <w:rPr>
          <w:iCs/>
          <w:szCs w:val="22"/>
        </w:rPr>
        <w:t xml:space="preserve"> </w:t>
      </w:r>
      <w:r>
        <w:rPr>
          <w:iCs/>
          <w:szCs w:val="22"/>
        </w:rPr>
        <w:t>periferien</w:t>
      </w:r>
      <w:r w:rsidRPr="00246225">
        <w:rPr>
          <w:iCs/>
          <w:szCs w:val="22"/>
        </w:rPr>
        <w:t xml:space="preserve"> af den maksimale konsekvensafstand</w:t>
      </w:r>
      <w:r>
        <w:rPr>
          <w:szCs w:val="22"/>
        </w:rPr>
        <w:t xml:space="preserve">.  </w:t>
      </w:r>
    </w:p>
    <w:p w14:paraId="6CD7758E" w14:textId="77777777" w:rsidR="008708AB" w:rsidRDefault="008708AB" w:rsidP="008708AB">
      <w:pPr>
        <w:jc w:val="both"/>
        <w:rPr>
          <w:szCs w:val="22"/>
        </w:rPr>
      </w:pPr>
    </w:p>
    <w:p w14:paraId="20C5C4E5" w14:textId="77777777" w:rsidR="008708AB" w:rsidRPr="00FD5FFA" w:rsidRDefault="008708AB" w:rsidP="004C47EC">
      <w:pPr>
        <w:suppressAutoHyphens w:val="0"/>
        <w:spacing w:line="240" w:lineRule="auto"/>
        <w:rPr>
          <w:i/>
          <w:szCs w:val="22"/>
          <w:u w:val="single"/>
        </w:rPr>
      </w:pPr>
      <w:r w:rsidRPr="00FD5FFA">
        <w:rPr>
          <w:i/>
          <w:szCs w:val="22"/>
          <w:u w:val="single"/>
        </w:rPr>
        <w:t>Udslip af giftige gasser</w:t>
      </w:r>
    </w:p>
    <w:p w14:paraId="5E1F45DA" w14:textId="77777777" w:rsidR="008708AB" w:rsidRDefault="008708AB" w:rsidP="008708AB">
      <w:pPr>
        <w:jc w:val="both"/>
        <w:rPr>
          <w:szCs w:val="22"/>
        </w:rPr>
      </w:pPr>
      <w:r>
        <w:rPr>
          <w:szCs w:val="22"/>
        </w:rPr>
        <w:t>I modsætning til udbredelsen af effekter fra brand/eksplosion, som</w:t>
      </w:r>
      <w:r w:rsidR="00FD5FFA">
        <w:rPr>
          <w:szCs w:val="22"/>
        </w:rPr>
        <w:t xml:space="preserve"> ofte</w:t>
      </w:r>
      <w:r>
        <w:rPr>
          <w:szCs w:val="22"/>
        </w:rPr>
        <w:t xml:space="preserve"> er tilnærmelsesvis cirkulær, så er udbredelse af et udslip af giftige gasser meget afhængig af vindretning og vejrforhold. Det er derfor nødvendigt at foretage beregninger</w:t>
      </w:r>
      <w:r w:rsidR="000A4853">
        <w:rPr>
          <w:szCs w:val="22"/>
        </w:rPr>
        <w:t xml:space="preserve"> for</w:t>
      </w:r>
      <w:r>
        <w:rPr>
          <w:szCs w:val="22"/>
        </w:rPr>
        <w:t xml:space="preserve"> konsekvensafstande for forskellige vejrforhold, f.eks. 1,5-2 m/sek stabilitetsklasse F og 5-6 m/sek stabilitetsklasse D.</w:t>
      </w:r>
    </w:p>
    <w:p w14:paraId="70C7B307" w14:textId="77777777" w:rsidR="008708AB" w:rsidRDefault="008708AB" w:rsidP="008708AB">
      <w:pPr>
        <w:jc w:val="both"/>
        <w:rPr>
          <w:szCs w:val="22"/>
        </w:rPr>
      </w:pPr>
    </w:p>
    <w:p w14:paraId="382C16E5" w14:textId="77777777" w:rsidR="009C3E36" w:rsidRDefault="008708AB" w:rsidP="008708AB">
      <w:pPr>
        <w:jc w:val="both"/>
        <w:rPr>
          <w:szCs w:val="22"/>
        </w:rPr>
      </w:pPr>
      <w:r>
        <w:rPr>
          <w:szCs w:val="22"/>
        </w:rPr>
        <w:t>Hvis konsekvensafstand for dimensionerende uheld går uden for skel, og der ligger boliger eller lign. følsom arealanvendelse i området, så vil det som udgangspunkt være nødvendigt at beregne</w:t>
      </w:r>
      <w:r w:rsidR="009C3E36">
        <w:rPr>
          <w:szCs w:val="22"/>
        </w:rPr>
        <w:t>:</w:t>
      </w:r>
    </w:p>
    <w:p w14:paraId="0E7712B5" w14:textId="77777777" w:rsidR="009C3E36" w:rsidRDefault="009C3E36" w:rsidP="008708AB">
      <w:pPr>
        <w:jc w:val="both"/>
        <w:rPr>
          <w:szCs w:val="22"/>
        </w:rPr>
      </w:pPr>
    </w:p>
    <w:p w14:paraId="0915501F" w14:textId="77777777" w:rsidR="009C3E36" w:rsidRPr="009C3E36" w:rsidRDefault="008708AB" w:rsidP="009C3E36">
      <w:pPr>
        <w:pStyle w:val="Listeafsnit"/>
        <w:numPr>
          <w:ilvl w:val="0"/>
          <w:numId w:val="14"/>
        </w:numPr>
        <w:jc w:val="both"/>
        <w:rPr>
          <w:szCs w:val="22"/>
        </w:rPr>
      </w:pPr>
      <w:r w:rsidRPr="009C3E36">
        <w:rPr>
          <w:i/>
          <w:szCs w:val="22"/>
        </w:rPr>
        <w:t>den</w:t>
      </w:r>
      <w:r w:rsidRPr="009C3E36">
        <w:rPr>
          <w:szCs w:val="22"/>
        </w:rPr>
        <w:t xml:space="preserve"> </w:t>
      </w:r>
      <w:r w:rsidRPr="009C3E36">
        <w:rPr>
          <w:i/>
          <w:iCs/>
          <w:szCs w:val="22"/>
        </w:rPr>
        <w:t xml:space="preserve">stedbundne individuelle risiko og </w:t>
      </w:r>
    </w:p>
    <w:p w14:paraId="11AF68BE" w14:textId="77777777" w:rsidR="008708AB" w:rsidRPr="009C3E36" w:rsidRDefault="008708AB" w:rsidP="009C3E36">
      <w:pPr>
        <w:pStyle w:val="Listeafsnit"/>
        <w:numPr>
          <w:ilvl w:val="0"/>
          <w:numId w:val="14"/>
        </w:numPr>
        <w:jc w:val="both"/>
        <w:rPr>
          <w:szCs w:val="22"/>
        </w:rPr>
      </w:pPr>
      <w:r w:rsidRPr="009C3E36">
        <w:rPr>
          <w:i/>
          <w:iCs/>
          <w:szCs w:val="22"/>
        </w:rPr>
        <w:t>den samfundsmæssige risiko</w:t>
      </w:r>
      <w:r w:rsidRPr="009C3E36">
        <w:rPr>
          <w:szCs w:val="22"/>
        </w:rPr>
        <w:t>.</w:t>
      </w:r>
    </w:p>
    <w:p w14:paraId="1151EC56" w14:textId="77777777" w:rsidR="008708AB" w:rsidRDefault="008708AB" w:rsidP="008708AB">
      <w:pPr>
        <w:jc w:val="both"/>
        <w:rPr>
          <w:szCs w:val="22"/>
        </w:rPr>
      </w:pPr>
    </w:p>
    <w:p w14:paraId="0EE45246" w14:textId="77777777" w:rsidR="008708AB" w:rsidRDefault="008708AB" w:rsidP="008708AB">
      <w:pPr>
        <w:jc w:val="both"/>
        <w:rPr>
          <w:szCs w:val="22"/>
        </w:rPr>
      </w:pPr>
      <w:r>
        <w:rPr>
          <w:szCs w:val="22"/>
        </w:rPr>
        <w:t xml:space="preserve">Hvis kun den maksimale konsekvensafstand går uden for virksomhedens skel, så kan større uheld i sjældne tilfælde påvirke omgivelserne, men virkningen vil ofte være begrænset til 1-2 vindsektorer (30-60 grader) </w:t>
      </w:r>
      <w:r w:rsidR="000A4853">
        <w:rPr>
          <w:szCs w:val="22"/>
        </w:rPr>
        <w:t>pga.</w:t>
      </w:r>
      <w:r>
        <w:rPr>
          <w:szCs w:val="22"/>
        </w:rPr>
        <w:t xml:space="preserve"> </w:t>
      </w:r>
      <w:r w:rsidR="000A4853">
        <w:rPr>
          <w:szCs w:val="22"/>
        </w:rPr>
        <w:t>vindretningens</w:t>
      </w:r>
      <w:r>
        <w:rPr>
          <w:szCs w:val="22"/>
        </w:rPr>
        <w:t xml:space="preserve"> betydning. Hvis der kan opholde sig mange personer inden for et vinkeludsnit af den maksimale konsekvensafstand, vil det derfor som udgangspunkt være nødvendigt at vurdere/beregne den </w:t>
      </w:r>
      <w:r w:rsidRPr="00E24C1A">
        <w:rPr>
          <w:i/>
          <w:iCs/>
          <w:szCs w:val="22"/>
        </w:rPr>
        <w:t>samfundsmæssige risiko</w:t>
      </w:r>
      <w:r>
        <w:rPr>
          <w:szCs w:val="22"/>
        </w:rPr>
        <w:t xml:space="preserve">. Mange mennesker kan f.eks. være 150-250 personer, men det </w:t>
      </w:r>
      <w:r w:rsidR="00B42911">
        <w:rPr>
          <w:szCs w:val="22"/>
        </w:rPr>
        <w:t xml:space="preserve">skal </w:t>
      </w:r>
      <w:r>
        <w:rPr>
          <w:szCs w:val="22"/>
        </w:rPr>
        <w:t xml:space="preserve">vurderes konkret afhængig af, om de opholder sig tæt på virksomheden eller i periferien af den maksimale konsekvensafstand. </w:t>
      </w:r>
    </w:p>
    <w:p w14:paraId="6834EF4A" w14:textId="77777777" w:rsidR="008708AB" w:rsidRDefault="008708AB" w:rsidP="008708AB">
      <w:pPr>
        <w:rPr>
          <w:rStyle w:val="Strk"/>
          <w:rFonts w:cs="Arial"/>
          <w:b w:val="0"/>
        </w:rPr>
      </w:pPr>
    </w:p>
    <w:p w14:paraId="51CCDBFF" w14:textId="77777777" w:rsidR="00FD5FFA" w:rsidRDefault="00FD5FFA" w:rsidP="008708AB">
      <w:pPr>
        <w:rPr>
          <w:rStyle w:val="Strk"/>
          <w:rFonts w:cs="Arial"/>
          <w:b w:val="0"/>
        </w:rPr>
      </w:pPr>
    </w:p>
    <w:p w14:paraId="3B20B7FA" w14:textId="77777777" w:rsidR="00FD5FFA" w:rsidRPr="00FD5FFA" w:rsidRDefault="00FD5FFA" w:rsidP="00FD5FFA">
      <w:pPr>
        <w:jc w:val="both"/>
        <w:rPr>
          <w:b/>
          <w:szCs w:val="22"/>
        </w:rPr>
      </w:pPr>
      <w:r w:rsidRPr="00FD5FFA">
        <w:rPr>
          <w:b/>
          <w:szCs w:val="22"/>
        </w:rPr>
        <w:t>Myndighedernes vurdering af omfang og alvor af større uheld</w:t>
      </w:r>
    </w:p>
    <w:p w14:paraId="713ED2B3" w14:textId="77777777" w:rsidR="00FD5FFA" w:rsidRPr="00FD5FFA" w:rsidRDefault="00FD5FFA" w:rsidP="00D80B14">
      <w:pPr>
        <w:suppressAutoHyphens w:val="0"/>
        <w:ind w:right="84"/>
        <w:jc w:val="both"/>
        <w:rPr>
          <w:rFonts w:cs="Arial"/>
          <w:bCs/>
          <w:szCs w:val="20"/>
        </w:rPr>
      </w:pPr>
      <w:r w:rsidRPr="00FD5FFA">
        <w:rPr>
          <w:rFonts w:cs="Arial"/>
          <w:bCs/>
          <w:szCs w:val="20"/>
        </w:rPr>
        <w:t>Risikomyndighederne</w:t>
      </w:r>
      <w:r w:rsidR="00FC0B3F">
        <w:rPr>
          <w:rFonts w:cs="Arial"/>
          <w:bCs/>
          <w:szCs w:val="20"/>
        </w:rPr>
        <w:t xml:space="preserve"> </w:t>
      </w:r>
      <w:r w:rsidRPr="00FD5FFA">
        <w:rPr>
          <w:rFonts w:cs="Arial"/>
          <w:bCs/>
          <w:szCs w:val="20"/>
        </w:rPr>
        <w:t>vil vurdere omfang og alvor a</w:t>
      </w:r>
      <w:r w:rsidR="00601063">
        <w:rPr>
          <w:rFonts w:cs="Arial"/>
          <w:bCs/>
          <w:szCs w:val="20"/>
        </w:rPr>
        <w:t>f</w:t>
      </w:r>
      <w:r w:rsidRPr="00FD5FFA">
        <w:rPr>
          <w:rFonts w:cs="Arial"/>
          <w:bCs/>
          <w:szCs w:val="20"/>
        </w:rPr>
        <w:t xml:space="preserve"> større uheld inden for hvert deres faglige område.</w:t>
      </w:r>
    </w:p>
    <w:p w14:paraId="122617EA" w14:textId="77777777" w:rsidR="00FD5FFA" w:rsidRPr="00FD5FFA" w:rsidRDefault="00FD5FFA" w:rsidP="00FD5FFA">
      <w:pPr>
        <w:suppressAutoHyphens w:val="0"/>
        <w:ind w:right="-908"/>
        <w:jc w:val="both"/>
        <w:rPr>
          <w:rFonts w:cs="Arial"/>
          <w:bCs/>
          <w:szCs w:val="20"/>
        </w:rPr>
      </w:pPr>
    </w:p>
    <w:p w14:paraId="5A701B49" w14:textId="77777777" w:rsidR="00FD5FFA" w:rsidRPr="00FD5FFA" w:rsidRDefault="00FD5FFA" w:rsidP="00FD5FFA">
      <w:pPr>
        <w:jc w:val="both"/>
        <w:rPr>
          <w:szCs w:val="22"/>
        </w:rPr>
      </w:pPr>
      <w:r w:rsidRPr="00FD5FFA">
        <w:rPr>
          <w:szCs w:val="22"/>
        </w:rPr>
        <w:t xml:space="preserve">Virksomheden bør som udgangspunkt ikke kunne udløse uheld på evt. naborisikovirksomheder (dominoeffekt). </w:t>
      </w:r>
    </w:p>
    <w:p w14:paraId="19D3B0F7" w14:textId="77777777" w:rsidR="00FD5FFA" w:rsidRPr="00FD5FFA" w:rsidRDefault="00FD5FFA" w:rsidP="00FD5FFA">
      <w:pPr>
        <w:jc w:val="both"/>
        <w:rPr>
          <w:szCs w:val="22"/>
        </w:rPr>
      </w:pPr>
    </w:p>
    <w:p w14:paraId="6938A75B" w14:textId="77777777" w:rsidR="00FD5FFA" w:rsidRPr="00FD5FFA" w:rsidRDefault="00FD5FFA" w:rsidP="00FD5FFA">
      <w:pPr>
        <w:jc w:val="both"/>
        <w:rPr>
          <w:szCs w:val="22"/>
        </w:rPr>
      </w:pPr>
      <w:r w:rsidRPr="00FD5FFA">
        <w:rPr>
          <w:szCs w:val="22"/>
        </w:rPr>
        <w:t>Konsekvensafstanden for større uheld blive</w:t>
      </w:r>
      <w:r>
        <w:rPr>
          <w:szCs w:val="22"/>
        </w:rPr>
        <w:t>r ofte</w:t>
      </w:r>
      <w:r w:rsidRPr="00FD5FFA">
        <w:rPr>
          <w:szCs w:val="22"/>
        </w:rPr>
        <w:t xml:space="preserve"> vurderet på 2 niveauer:</w:t>
      </w:r>
    </w:p>
    <w:p w14:paraId="3D792DAB" w14:textId="77777777" w:rsidR="00FD5FFA" w:rsidRPr="00FD5FFA" w:rsidRDefault="00FD5FFA" w:rsidP="00FD5FFA">
      <w:pPr>
        <w:numPr>
          <w:ilvl w:val="0"/>
          <w:numId w:val="11"/>
        </w:numPr>
        <w:tabs>
          <w:tab w:val="clear" w:pos="720"/>
          <w:tab w:val="num" w:pos="468"/>
        </w:tabs>
        <w:ind w:left="468" w:hanging="312"/>
        <w:jc w:val="both"/>
        <w:rPr>
          <w:szCs w:val="22"/>
        </w:rPr>
      </w:pPr>
      <w:r w:rsidRPr="00FD5FFA">
        <w:rPr>
          <w:szCs w:val="22"/>
        </w:rPr>
        <w:t xml:space="preserve">Konsekvensafstand for </w:t>
      </w:r>
      <w:r w:rsidRPr="00FD5FFA">
        <w:rPr>
          <w:i/>
          <w:iCs/>
          <w:szCs w:val="22"/>
        </w:rPr>
        <w:t>dimensionerende uheld</w:t>
      </w:r>
      <w:r w:rsidRPr="00FD5FFA">
        <w:rPr>
          <w:szCs w:val="22"/>
        </w:rPr>
        <w:t xml:space="preserve"> (sikkerhedsafstanden), som dækker uheld med en hyppighed </w:t>
      </w:r>
      <w:r w:rsidRPr="00FD5FFA">
        <w:t>højere end ca. 10</w:t>
      </w:r>
      <w:r w:rsidRPr="00FD5FFA">
        <w:rPr>
          <w:vertAlign w:val="superscript"/>
        </w:rPr>
        <w:t>-5</w:t>
      </w:r>
      <w:r w:rsidRPr="00FD5FFA">
        <w:t xml:space="preserve"> per år</w:t>
      </w:r>
      <w:r w:rsidRPr="00FD5FFA">
        <w:rPr>
          <w:szCs w:val="22"/>
        </w:rPr>
        <w:t xml:space="preserve"> </w:t>
      </w:r>
      <w:r w:rsidR="00EF5DD3">
        <w:rPr>
          <w:szCs w:val="22"/>
        </w:rPr>
        <w:t>eller afstanden, der defineres af 10</w:t>
      </w:r>
      <w:r w:rsidR="00EF5DD3" w:rsidRPr="00FC0B3F">
        <w:rPr>
          <w:szCs w:val="22"/>
          <w:vertAlign w:val="superscript"/>
        </w:rPr>
        <w:t>-6</w:t>
      </w:r>
      <w:r w:rsidR="00EF5DD3">
        <w:rPr>
          <w:szCs w:val="22"/>
        </w:rPr>
        <w:t xml:space="preserve"> isorisikokurven for stedbunden individuel risiko.</w:t>
      </w:r>
    </w:p>
    <w:p w14:paraId="6CD9CA44" w14:textId="77777777" w:rsidR="00FD5FFA" w:rsidRPr="00FD5FFA" w:rsidRDefault="00FD5FFA" w:rsidP="00FD5FFA">
      <w:pPr>
        <w:numPr>
          <w:ilvl w:val="0"/>
          <w:numId w:val="11"/>
        </w:numPr>
        <w:tabs>
          <w:tab w:val="clear" w:pos="720"/>
          <w:tab w:val="num" w:pos="468"/>
        </w:tabs>
        <w:ind w:left="468" w:hanging="312"/>
        <w:jc w:val="both"/>
        <w:rPr>
          <w:szCs w:val="22"/>
        </w:rPr>
      </w:pPr>
      <w:r w:rsidRPr="00FD5FFA">
        <w:rPr>
          <w:i/>
          <w:iCs/>
          <w:szCs w:val="22"/>
        </w:rPr>
        <w:t>Maksimal konsekvensafstand</w:t>
      </w:r>
      <w:r w:rsidRPr="00FD5FFA">
        <w:rPr>
          <w:szCs w:val="22"/>
        </w:rPr>
        <w:t xml:space="preserve"> (planlægningszonen), som dækker uheld med en hyppighed </w:t>
      </w:r>
      <w:r w:rsidRPr="00FD5FFA">
        <w:rPr>
          <w:rStyle w:val="Strk"/>
          <w:rFonts w:cs="Arial"/>
          <w:b w:val="0"/>
        </w:rPr>
        <w:t>større end 10</w:t>
      </w:r>
      <w:r w:rsidRPr="00FD5FFA">
        <w:rPr>
          <w:rStyle w:val="Strk"/>
          <w:rFonts w:cs="Arial"/>
          <w:b w:val="0"/>
          <w:vertAlign w:val="superscript"/>
        </w:rPr>
        <w:t>-9</w:t>
      </w:r>
      <w:r w:rsidRPr="00FD5FFA">
        <w:rPr>
          <w:rStyle w:val="Strk"/>
          <w:rFonts w:cs="Arial"/>
          <w:b w:val="0"/>
        </w:rPr>
        <w:t xml:space="preserve"> pr. år</w:t>
      </w:r>
      <w:r w:rsidRPr="00FD5FFA">
        <w:rPr>
          <w:szCs w:val="22"/>
        </w:rPr>
        <w:t>.</w:t>
      </w:r>
    </w:p>
    <w:p w14:paraId="7A31880A" w14:textId="77777777" w:rsidR="00FD5FFA" w:rsidRPr="00FD5FFA" w:rsidRDefault="00FD5FFA" w:rsidP="00FD5FFA">
      <w:pPr>
        <w:jc w:val="both"/>
        <w:rPr>
          <w:szCs w:val="22"/>
        </w:rPr>
      </w:pPr>
    </w:p>
    <w:p w14:paraId="593CD2DB" w14:textId="77777777" w:rsidR="008708AB" w:rsidRDefault="00FD5FFA" w:rsidP="008708AB">
      <w:pPr>
        <w:rPr>
          <w:rStyle w:val="Strk"/>
          <w:rFonts w:cs="Arial"/>
          <w:b w:val="0"/>
        </w:rPr>
      </w:pPr>
      <w:r>
        <w:rPr>
          <w:rStyle w:val="Strk"/>
          <w:rFonts w:cs="Arial"/>
          <w:b w:val="0"/>
        </w:rPr>
        <w:lastRenderedPageBreak/>
        <w:t>M</w:t>
      </w:r>
      <w:r w:rsidR="008708AB">
        <w:rPr>
          <w:rStyle w:val="Strk"/>
          <w:rFonts w:cs="Arial"/>
          <w:b w:val="0"/>
        </w:rPr>
        <w:t>ed baggrund i de gennemførte beregninger, vil myndighederne</w:t>
      </w:r>
      <w:r>
        <w:rPr>
          <w:rStyle w:val="Strk"/>
          <w:rFonts w:cs="Arial"/>
          <w:b w:val="0"/>
        </w:rPr>
        <w:t xml:space="preserve"> ofte</w:t>
      </w:r>
      <w:r w:rsidR="008708AB">
        <w:rPr>
          <w:rStyle w:val="Strk"/>
          <w:rFonts w:cs="Arial"/>
          <w:b w:val="0"/>
        </w:rPr>
        <w:t xml:space="preserve"> foretage en graduering og </w:t>
      </w:r>
      <w:r w:rsidR="00646C61">
        <w:rPr>
          <w:rStyle w:val="Strk"/>
          <w:rFonts w:cs="Arial"/>
          <w:b w:val="0"/>
        </w:rPr>
        <w:t>vurdering</w:t>
      </w:r>
      <w:r w:rsidR="008708AB">
        <w:rPr>
          <w:rStyle w:val="Strk"/>
          <w:rFonts w:cs="Arial"/>
          <w:b w:val="0"/>
        </w:rPr>
        <w:t xml:space="preserve"> af risikopåvirkningerne</w:t>
      </w:r>
      <w:r>
        <w:rPr>
          <w:rStyle w:val="Strk"/>
          <w:rFonts w:cs="Arial"/>
          <w:b w:val="0"/>
        </w:rPr>
        <w:t xml:space="preserve"> afhængig af arealanvendelsen</w:t>
      </w:r>
      <w:r w:rsidR="008708AB">
        <w:rPr>
          <w:rStyle w:val="Strk"/>
          <w:rFonts w:cs="Arial"/>
          <w:b w:val="0"/>
        </w:rPr>
        <w:t xml:space="preserve"> omkring virksomheden. Gradueringen kan evt. </w:t>
      </w:r>
      <w:r>
        <w:rPr>
          <w:rStyle w:val="Strk"/>
          <w:rFonts w:cs="Arial"/>
          <w:b w:val="0"/>
        </w:rPr>
        <w:t xml:space="preserve">også </w:t>
      </w:r>
      <w:r w:rsidR="008708AB">
        <w:rPr>
          <w:rStyle w:val="Strk"/>
          <w:rFonts w:cs="Arial"/>
          <w:b w:val="0"/>
        </w:rPr>
        <w:t>anvendes som grundlag for planlægning omkring virksomheden.</w:t>
      </w:r>
    </w:p>
    <w:p w14:paraId="0D71F2B4" w14:textId="77777777" w:rsidR="008708AB" w:rsidRDefault="008708AB" w:rsidP="008708AB">
      <w:pPr>
        <w:jc w:val="both"/>
        <w:rPr>
          <w:rStyle w:val="Strk"/>
          <w:rFonts w:cs="Arial"/>
          <w:b w:val="0"/>
        </w:rPr>
      </w:pPr>
    </w:p>
    <w:p w14:paraId="6778A061" w14:textId="77777777" w:rsidR="008708AB" w:rsidRDefault="008708AB" w:rsidP="008708AB">
      <w:pPr>
        <w:jc w:val="both"/>
        <w:rPr>
          <w:rStyle w:val="Strk"/>
          <w:rFonts w:cs="Arial"/>
          <w:b w:val="0"/>
        </w:rPr>
      </w:pPr>
      <w:r>
        <w:rPr>
          <w:rStyle w:val="Strk"/>
          <w:rFonts w:cs="Arial"/>
          <w:b w:val="0"/>
        </w:rPr>
        <w:t>Kurver</w:t>
      </w:r>
      <w:r w:rsidR="00646C61">
        <w:rPr>
          <w:rStyle w:val="Strk"/>
          <w:rFonts w:cs="Arial"/>
          <w:b w:val="0"/>
        </w:rPr>
        <w:t>, der</w:t>
      </w:r>
      <w:r>
        <w:rPr>
          <w:rStyle w:val="Strk"/>
          <w:rFonts w:cs="Arial"/>
          <w:b w:val="0"/>
        </w:rPr>
        <w:t xml:space="preserve"> afgrænser risikoområder/zoner, </w:t>
      </w:r>
      <w:r w:rsidR="00646C61">
        <w:rPr>
          <w:rStyle w:val="Strk"/>
          <w:rFonts w:cs="Arial"/>
          <w:b w:val="0"/>
        </w:rPr>
        <w:t>kan f.eks.</w:t>
      </w:r>
      <w:r>
        <w:rPr>
          <w:rStyle w:val="Strk"/>
          <w:rFonts w:cs="Arial"/>
          <w:b w:val="0"/>
        </w:rPr>
        <w:t xml:space="preserve"> gradueres efter risikoens størrelse:</w:t>
      </w:r>
    </w:p>
    <w:p w14:paraId="19ADA3E6" w14:textId="77777777" w:rsidR="008708AB" w:rsidRDefault="008708AB" w:rsidP="008708AB">
      <w:pPr>
        <w:jc w:val="both"/>
        <w:rPr>
          <w:i/>
          <w:color w:val="FF0000"/>
          <w:szCs w:val="22"/>
        </w:rPr>
      </w:pPr>
    </w:p>
    <w:tbl>
      <w:tblPr>
        <w:tblW w:w="47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2409"/>
        <w:gridCol w:w="282"/>
        <w:gridCol w:w="3545"/>
      </w:tblGrid>
      <w:tr w:rsidR="00B42911" w:rsidRPr="009C3E36" w14:paraId="0A69D9CD" w14:textId="77777777" w:rsidTr="00FF3DA9">
        <w:tc>
          <w:tcPr>
            <w:tcW w:w="667" w:type="pct"/>
            <w:shd w:val="clear" w:color="auto" w:fill="D9D9D9"/>
            <w:tcMar>
              <w:top w:w="28" w:type="dxa"/>
              <w:bottom w:w="28" w:type="dxa"/>
            </w:tcMar>
          </w:tcPr>
          <w:p w14:paraId="35756F4B" w14:textId="77777777" w:rsidR="00B42911" w:rsidRPr="009C3E36" w:rsidRDefault="00B42911" w:rsidP="00FF008E">
            <w:pPr>
              <w:jc w:val="center"/>
              <w:rPr>
                <w:rFonts w:ascii="Arial" w:hAnsi="Arial" w:cs="Arial"/>
                <w:i/>
                <w:sz w:val="18"/>
                <w:szCs w:val="18"/>
              </w:rPr>
            </w:pPr>
          </w:p>
        </w:tc>
        <w:tc>
          <w:tcPr>
            <w:tcW w:w="1674" w:type="pct"/>
            <w:shd w:val="clear" w:color="auto" w:fill="D9D9D9"/>
            <w:tcMar>
              <w:top w:w="28" w:type="dxa"/>
              <w:bottom w:w="28" w:type="dxa"/>
            </w:tcMar>
          </w:tcPr>
          <w:p w14:paraId="753B67AF" w14:textId="77777777" w:rsidR="00B42911" w:rsidRPr="009C3E36" w:rsidRDefault="00B42911" w:rsidP="00FF008E">
            <w:pPr>
              <w:jc w:val="center"/>
              <w:rPr>
                <w:rFonts w:ascii="Arial" w:hAnsi="Arial" w:cs="Arial"/>
                <w:b/>
                <w:i/>
                <w:sz w:val="18"/>
                <w:szCs w:val="18"/>
              </w:rPr>
            </w:pPr>
            <w:r w:rsidRPr="009C3E36">
              <w:rPr>
                <w:rFonts w:ascii="Arial" w:hAnsi="Arial" w:cs="Arial"/>
                <w:b/>
                <w:i/>
                <w:sz w:val="18"/>
                <w:szCs w:val="18"/>
              </w:rPr>
              <w:t>Kvalitativ analyse</w:t>
            </w:r>
          </w:p>
        </w:tc>
        <w:tc>
          <w:tcPr>
            <w:tcW w:w="2659" w:type="pct"/>
            <w:gridSpan w:val="2"/>
            <w:shd w:val="clear" w:color="auto" w:fill="D9D9D9"/>
            <w:tcMar>
              <w:top w:w="28" w:type="dxa"/>
              <w:bottom w:w="28" w:type="dxa"/>
            </w:tcMar>
          </w:tcPr>
          <w:p w14:paraId="0305A3CE" w14:textId="77777777" w:rsidR="00B42911" w:rsidRPr="009C3E36" w:rsidRDefault="00B42911" w:rsidP="00FF008E">
            <w:pPr>
              <w:jc w:val="center"/>
              <w:rPr>
                <w:rFonts w:ascii="Arial" w:hAnsi="Arial" w:cs="Arial"/>
                <w:b/>
                <w:i/>
                <w:sz w:val="18"/>
                <w:szCs w:val="18"/>
              </w:rPr>
            </w:pPr>
            <w:r w:rsidRPr="009C3E36">
              <w:rPr>
                <w:rFonts w:ascii="Arial" w:hAnsi="Arial" w:cs="Arial"/>
                <w:b/>
                <w:i/>
                <w:sz w:val="18"/>
                <w:szCs w:val="18"/>
              </w:rPr>
              <w:t>Kvantitativ analyse</w:t>
            </w:r>
          </w:p>
        </w:tc>
      </w:tr>
      <w:tr w:rsidR="00B42911" w:rsidRPr="009C3E36" w14:paraId="357BB318" w14:textId="77777777" w:rsidTr="00FF3DA9">
        <w:tc>
          <w:tcPr>
            <w:tcW w:w="667" w:type="pct"/>
            <w:tcBorders>
              <w:bottom w:val="single" w:sz="4" w:space="0" w:color="auto"/>
            </w:tcBorders>
            <w:shd w:val="clear" w:color="auto" w:fill="auto"/>
            <w:tcMar>
              <w:top w:w="28" w:type="dxa"/>
              <w:bottom w:w="28" w:type="dxa"/>
            </w:tcMar>
          </w:tcPr>
          <w:p w14:paraId="19D5374A" w14:textId="77777777" w:rsidR="00B42911" w:rsidRPr="009C3E36" w:rsidRDefault="00B42911" w:rsidP="00CB013A">
            <w:pPr>
              <w:jc w:val="both"/>
              <w:rPr>
                <w:rFonts w:ascii="Arial" w:hAnsi="Arial" w:cs="Arial"/>
                <w:b/>
                <w:i/>
                <w:sz w:val="18"/>
                <w:szCs w:val="18"/>
              </w:rPr>
            </w:pPr>
          </w:p>
        </w:tc>
        <w:tc>
          <w:tcPr>
            <w:tcW w:w="4333" w:type="pct"/>
            <w:gridSpan w:val="3"/>
            <w:shd w:val="clear" w:color="auto" w:fill="auto"/>
            <w:tcMar>
              <w:top w:w="28" w:type="dxa"/>
              <w:bottom w:w="28" w:type="dxa"/>
            </w:tcMar>
          </w:tcPr>
          <w:p w14:paraId="23B6C3A1" w14:textId="77777777" w:rsidR="00B42911" w:rsidRPr="009C3E36" w:rsidRDefault="00B42911" w:rsidP="00CB013A">
            <w:pPr>
              <w:jc w:val="center"/>
              <w:rPr>
                <w:rFonts w:ascii="Arial" w:hAnsi="Arial" w:cs="Arial"/>
                <w:b/>
                <w:i/>
                <w:sz w:val="18"/>
                <w:szCs w:val="18"/>
              </w:rPr>
            </w:pPr>
            <w:r w:rsidRPr="009C3E36">
              <w:rPr>
                <w:rFonts w:ascii="Arial" w:hAnsi="Arial" w:cs="Arial"/>
                <w:b/>
                <w:i/>
                <w:sz w:val="18"/>
                <w:szCs w:val="18"/>
              </w:rPr>
              <w:t>Ydre afgrænsning af zone</w:t>
            </w:r>
          </w:p>
        </w:tc>
      </w:tr>
      <w:tr w:rsidR="00B42911" w:rsidRPr="009C3E36" w14:paraId="14C2BFD6" w14:textId="77777777" w:rsidTr="00FF3DA9">
        <w:tc>
          <w:tcPr>
            <w:tcW w:w="667" w:type="pct"/>
            <w:tcBorders>
              <w:top w:val="single" w:sz="4" w:space="0" w:color="auto"/>
              <w:bottom w:val="single" w:sz="4" w:space="0" w:color="auto"/>
              <w:right w:val="single" w:sz="4" w:space="0" w:color="auto"/>
            </w:tcBorders>
            <w:shd w:val="clear" w:color="auto" w:fill="auto"/>
            <w:tcMar>
              <w:top w:w="28" w:type="dxa"/>
              <w:bottom w:w="28" w:type="dxa"/>
            </w:tcMar>
          </w:tcPr>
          <w:p w14:paraId="6592795E" w14:textId="77777777" w:rsidR="00B42911" w:rsidRPr="009C3E36" w:rsidRDefault="00B42911" w:rsidP="00CB013A">
            <w:pPr>
              <w:jc w:val="both"/>
              <w:rPr>
                <w:rFonts w:ascii="Arial" w:hAnsi="Arial" w:cs="Arial"/>
                <w:b/>
                <w:i/>
                <w:sz w:val="18"/>
                <w:szCs w:val="18"/>
              </w:rPr>
            </w:pPr>
            <w:r w:rsidRPr="009C3E36">
              <w:rPr>
                <w:rFonts w:ascii="Arial" w:hAnsi="Arial" w:cs="Arial"/>
                <w:b/>
                <w:i/>
                <w:sz w:val="18"/>
                <w:szCs w:val="18"/>
              </w:rPr>
              <w:t>Zone 1</w:t>
            </w:r>
          </w:p>
        </w:tc>
        <w:tc>
          <w:tcPr>
            <w:tcW w:w="1870" w:type="pct"/>
            <w:gridSpan w:val="2"/>
            <w:tcBorders>
              <w:left w:val="single" w:sz="4" w:space="0" w:color="auto"/>
            </w:tcBorders>
            <w:shd w:val="clear" w:color="auto" w:fill="D9D9D9"/>
            <w:tcMar>
              <w:top w:w="28" w:type="dxa"/>
              <w:bottom w:w="28" w:type="dxa"/>
            </w:tcMar>
          </w:tcPr>
          <w:p w14:paraId="3F4704FB" w14:textId="77777777" w:rsidR="00B42911" w:rsidRPr="009C3E36" w:rsidRDefault="00B42911" w:rsidP="00CB013A">
            <w:pPr>
              <w:rPr>
                <w:rFonts w:ascii="Arial" w:hAnsi="Arial" w:cs="Arial"/>
                <w:sz w:val="18"/>
                <w:szCs w:val="18"/>
              </w:rPr>
            </w:pPr>
          </w:p>
        </w:tc>
        <w:tc>
          <w:tcPr>
            <w:tcW w:w="2462" w:type="pct"/>
            <w:shd w:val="clear" w:color="auto" w:fill="auto"/>
            <w:tcMar>
              <w:top w:w="28" w:type="dxa"/>
              <w:bottom w:w="28" w:type="dxa"/>
            </w:tcMar>
          </w:tcPr>
          <w:p w14:paraId="2296F85D" w14:textId="77777777" w:rsidR="00B42911" w:rsidRPr="009C3E36" w:rsidRDefault="00B42911" w:rsidP="00BE1C7B">
            <w:pPr>
              <w:rPr>
                <w:rFonts w:ascii="Arial" w:hAnsi="Arial" w:cs="Arial"/>
                <w:bCs/>
                <w:sz w:val="18"/>
                <w:szCs w:val="18"/>
              </w:rPr>
            </w:pPr>
            <w:r w:rsidRPr="009C3E36">
              <w:rPr>
                <w:rStyle w:val="Strk"/>
                <w:rFonts w:ascii="Arial" w:hAnsi="Arial" w:cs="Arial"/>
                <w:b w:val="0"/>
                <w:sz w:val="18"/>
                <w:szCs w:val="18"/>
              </w:rPr>
              <w:t>Stedbunden individuel risiko på 10</w:t>
            </w:r>
            <w:r w:rsidRPr="009C3E36">
              <w:rPr>
                <w:rStyle w:val="Strk"/>
                <w:rFonts w:ascii="Arial" w:hAnsi="Arial" w:cs="Arial"/>
                <w:b w:val="0"/>
                <w:sz w:val="18"/>
                <w:szCs w:val="18"/>
                <w:vertAlign w:val="superscript"/>
              </w:rPr>
              <w:t>-5</w:t>
            </w:r>
            <w:r w:rsidRPr="009C3E36">
              <w:rPr>
                <w:rStyle w:val="Strk"/>
                <w:rFonts w:ascii="Arial" w:hAnsi="Arial" w:cs="Arial"/>
                <w:b w:val="0"/>
                <w:sz w:val="18"/>
                <w:szCs w:val="18"/>
              </w:rPr>
              <w:t xml:space="preserve"> pr. år</w:t>
            </w:r>
          </w:p>
        </w:tc>
      </w:tr>
      <w:tr w:rsidR="00B42911" w:rsidRPr="009C3E36" w14:paraId="64EF6B36" w14:textId="77777777" w:rsidTr="00FF3DA9">
        <w:tc>
          <w:tcPr>
            <w:tcW w:w="667" w:type="pct"/>
            <w:tcBorders>
              <w:top w:val="single" w:sz="4" w:space="0" w:color="auto"/>
              <w:bottom w:val="single" w:sz="4" w:space="0" w:color="auto"/>
              <w:right w:val="single" w:sz="4" w:space="0" w:color="auto"/>
            </w:tcBorders>
            <w:shd w:val="clear" w:color="auto" w:fill="auto"/>
            <w:tcMar>
              <w:top w:w="28" w:type="dxa"/>
              <w:bottom w:w="28" w:type="dxa"/>
            </w:tcMar>
          </w:tcPr>
          <w:p w14:paraId="0E462320" w14:textId="77777777" w:rsidR="00B42911" w:rsidRPr="009C3E36" w:rsidRDefault="00B42911" w:rsidP="00CB013A">
            <w:pPr>
              <w:jc w:val="both"/>
              <w:rPr>
                <w:rFonts w:ascii="Arial" w:hAnsi="Arial" w:cs="Arial"/>
                <w:b/>
                <w:i/>
                <w:sz w:val="18"/>
                <w:szCs w:val="18"/>
              </w:rPr>
            </w:pPr>
            <w:r w:rsidRPr="009C3E36">
              <w:rPr>
                <w:rFonts w:ascii="Arial" w:hAnsi="Arial" w:cs="Arial"/>
                <w:b/>
                <w:i/>
                <w:sz w:val="18"/>
                <w:szCs w:val="18"/>
              </w:rPr>
              <w:t>Zone 2</w:t>
            </w:r>
          </w:p>
        </w:tc>
        <w:tc>
          <w:tcPr>
            <w:tcW w:w="1870" w:type="pct"/>
            <w:gridSpan w:val="2"/>
            <w:tcBorders>
              <w:left w:val="single" w:sz="4" w:space="0" w:color="auto"/>
            </w:tcBorders>
            <w:shd w:val="clear" w:color="auto" w:fill="auto"/>
            <w:tcMar>
              <w:top w:w="28" w:type="dxa"/>
              <w:bottom w:w="28" w:type="dxa"/>
            </w:tcMar>
          </w:tcPr>
          <w:p w14:paraId="33BE46D0" w14:textId="77777777" w:rsidR="00B42911" w:rsidRPr="009C3E36" w:rsidRDefault="00B42911" w:rsidP="00BE1C7B">
            <w:pPr>
              <w:rPr>
                <w:rStyle w:val="Strk"/>
                <w:rFonts w:ascii="Arial" w:hAnsi="Arial" w:cs="Arial"/>
                <w:b w:val="0"/>
                <w:sz w:val="18"/>
                <w:szCs w:val="18"/>
              </w:rPr>
            </w:pPr>
            <w:r w:rsidRPr="009C3E36">
              <w:rPr>
                <w:rStyle w:val="Strk"/>
                <w:rFonts w:ascii="Arial" w:hAnsi="Arial" w:cs="Arial"/>
                <w:b w:val="0"/>
                <w:sz w:val="18"/>
                <w:szCs w:val="18"/>
              </w:rPr>
              <w:t>Konsekvensafstanden for det dimensionerende uheld</w:t>
            </w:r>
          </w:p>
          <w:p w14:paraId="25AF5848" w14:textId="77777777" w:rsidR="00B42911" w:rsidRPr="009C3E36" w:rsidRDefault="00B42911" w:rsidP="00CB013A">
            <w:pPr>
              <w:rPr>
                <w:rStyle w:val="Strk"/>
                <w:rFonts w:ascii="Arial" w:hAnsi="Arial" w:cs="Arial"/>
                <w:b w:val="0"/>
                <w:i/>
                <w:sz w:val="18"/>
                <w:szCs w:val="18"/>
              </w:rPr>
            </w:pPr>
          </w:p>
          <w:p w14:paraId="52DA76E8" w14:textId="77777777" w:rsidR="00B42911" w:rsidRPr="009C3E36" w:rsidRDefault="00B42911" w:rsidP="00CB013A">
            <w:pPr>
              <w:rPr>
                <w:rStyle w:val="Strk"/>
                <w:rFonts w:ascii="Arial" w:hAnsi="Arial" w:cs="Arial"/>
                <w:b w:val="0"/>
                <w:i/>
                <w:sz w:val="18"/>
                <w:szCs w:val="18"/>
              </w:rPr>
            </w:pPr>
            <w:r w:rsidRPr="009C3E36">
              <w:rPr>
                <w:rStyle w:val="Strk"/>
                <w:rFonts w:ascii="Arial" w:hAnsi="Arial" w:cs="Arial"/>
                <w:b w:val="0"/>
                <w:i/>
                <w:sz w:val="18"/>
                <w:szCs w:val="18"/>
              </w:rPr>
              <w:t xml:space="preserve">(Sandsynlighed for dimensione-rende uheld: </w:t>
            </w:r>
          </w:p>
          <w:p w14:paraId="22107754" w14:textId="77777777" w:rsidR="00B42911" w:rsidRPr="009C3E36" w:rsidRDefault="00B42911" w:rsidP="00CB013A">
            <w:pPr>
              <w:jc w:val="both"/>
              <w:rPr>
                <w:rFonts w:ascii="Arial" w:hAnsi="Arial" w:cs="Arial"/>
                <w:i/>
                <w:sz w:val="18"/>
                <w:szCs w:val="18"/>
              </w:rPr>
            </w:pPr>
            <w:r w:rsidRPr="009C3E36">
              <w:rPr>
                <w:rStyle w:val="Strk"/>
                <w:rFonts w:ascii="Arial" w:hAnsi="Arial" w:cs="Arial"/>
                <w:b w:val="0"/>
                <w:i/>
                <w:sz w:val="18"/>
                <w:szCs w:val="18"/>
              </w:rPr>
              <w:t>P&gt;= 10</w:t>
            </w:r>
            <w:r w:rsidRPr="009C3E36">
              <w:rPr>
                <w:rStyle w:val="Strk"/>
                <w:rFonts w:ascii="Arial" w:hAnsi="Arial" w:cs="Arial"/>
                <w:b w:val="0"/>
                <w:i/>
                <w:sz w:val="18"/>
                <w:szCs w:val="18"/>
                <w:vertAlign w:val="superscript"/>
              </w:rPr>
              <w:t>-5</w:t>
            </w:r>
            <w:r w:rsidRPr="009C3E36">
              <w:rPr>
                <w:rStyle w:val="Strk"/>
                <w:rFonts w:ascii="Arial" w:hAnsi="Arial" w:cs="Arial"/>
                <w:b w:val="0"/>
                <w:i/>
                <w:sz w:val="18"/>
                <w:szCs w:val="18"/>
              </w:rPr>
              <w:t xml:space="preserve"> pr. år)</w:t>
            </w:r>
          </w:p>
        </w:tc>
        <w:tc>
          <w:tcPr>
            <w:tcW w:w="2462" w:type="pct"/>
            <w:shd w:val="clear" w:color="auto" w:fill="auto"/>
            <w:tcMar>
              <w:top w:w="28" w:type="dxa"/>
              <w:bottom w:w="28" w:type="dxa"/>
            </w:tcMar>
          </w:tcPr>
          <w:p w14:paraId="6CBE8B35" w14:textId="77777777" w:rsidR="00B42911" w:rsidRPr="009C3E36" w:rsidRDefault="00B42911" w:rsidP="00BE1C7B">
            <w:pPr>
              <w:rPr>
                <w:rFonts w:ascii="Arial" w:hAnsi="Arial" w:cs="Arial"/>
                <w:i/>
                <w:sz w:val="18"/>
                <w:szCs w:val="18"/>
              </w:rPr>
            </w:pPr>
            <w:r w:rsidRPr="009C3E36">
              <w:rPr>
                <w:rStyle w:val="Strk"/>
                <w:rFonts w:ascii="Arial" w:hAnsi="Arial" w:cs="Arial"/>
                <w:b w:val="0"/>
                <w:sz w:val="18"/>
                <w:szCs w:val="18"/>
              </w:rPr>
              <w:t>Stedbunden individuel risiko på 10</w:t>
            </w:r>
            <w:r w:rsidRPr="009C3E36">
              <w:rPr>
                <w:rStyle w:val="Strk"/>
                <w:rFonts w:ascii="Arial" w:hAnsi="Arial" w:cs="Arial"/>
                <w:b w:val="0"/>
                <w:sz w:val="18"/>
                <w:szCs w:val="18"/>
                <w:vertAlign w:val="superscript"/>
              </w:rPr>
              <w:t>-6</w:t>
            </w:r>
            <w:r w:rsidRPr="009C3E36">
              <w:rPr>
                <w:rStyle w:val="Strk"/>
                <w:rFonts w:ascii="Arial" w:hAnsi="Arial" w:cs="Arial"/>
                <w:b w:val="0"/>
                <w:sz w:val="18"/>
                <w:szCs w:val="18"/>
              </w:rPr>
              <w:t xml:space="preserve"> pr. år</w:t>
            </w:r>
          </w:p>
        </w:tc>
      </w:tr>
      <w:tr w:rsidR="00B42911" w:rsidRPr="009C3E36" w14:paraId="527F9D97" w14:textId="77777777" w:rsidTr="00FF3DA9">
        <w:tc>
          <w:tcPr>
            <w:tcW w:w="667" w:type="pct"/>
            <w:tcBorders>
              <w:top w:val="single" w:sz="4" w:space="0" w:color="auto"/>
            </w:tcBorders>
            <w:shd w:val="clear" w:color="auto" w:fill="auto"/>
            <w:tcMar>
              <w:top w:w="28" w:type="dxa"/>
              <w:bottom w:w="28" w:type="dxa"/>
            </w:tcMar>
          </w:tcPr>
          <w:p w14:paraId="4FF0D34E" w14:textId="77777777" w:rsidR="00B42911" w:rsidRPr="009C3E36" w:rsidRDefault="00B42911" w:rsidP="00CB013A">
            <w:pPr>
              <w:jc w:val="both"/>
              <w:rPr>
                <w:rFonts w:ascii="Arial" w:hAnsi="Arial" w:cs="Arial"/>
                <w:b/>
                <w:i/>
                <w:sz w:val="18"/>
                <w:szCs w:val="18"/>
              </w:rPr>
            </w:pPr>
            <w:r w:rsidRPr="009C3E36">
              <w:rPr>
                <w:rFonts w:ascii="Arial" w:hAnsi="Arial" w:cs="Arial"/>
                <w:b/>
                <w:i/>
                <w:sz w:val="18"/>
                <w:szCs w:val="18"/>
              </w:rPr>
              <w:t>Zone 3</w:t>
            </w:r>
          </w:p>
        </w:tc>
        <w:tc>
          <w:tcPr>
            <w:tcW w:w="4333" w:type="pct"/>
            <w:gridSpan w:val="3"/>
            <w:shd w:val="clear" w:color="auto" w:fill="auto"/>
            <w:tcMar>
              <w:top w:w="28" w:type="dxa"/>
              <w:bottom w:w="28" w:type="dxa"/>
            </w:tcMar>
          </w:tcPr>
          <w:p w14:paraId="64E72542" w14:textId="77777777" w:rsidR="00B42911" w:rsidRPr="009C3E36" w:rsidRDefault="00B42911" w:rsidP="00CB013A">
            <w:pPr>
              <w:jc w:val="both"/>
              <w:rPr>
                <w:rStyle w:val="Strk"/>
                <w:rFonts w:ascii="Arial" w:hAnsi="Arial" w:cs="Arial"/>
                <w:b w:val="0"/>
                <w:sz w:val="18"/>
                <w:szCs w:val="18"/>
              </w:rPr>
            </w:pPr>
            <w:r w:rsidRPr="009C3E36">
              <w:rPr>
                <w:rStyle w:val="Strk"/>
                <w:rFonts w:ascii="Arial" w:hAnsi="Arial" w:cs="Arial"/>
                <w:b w:val="0"/>
                <w:sz w:val="18"/>
                <w:szCs w:val="18"/>
              </w:rPr>
              <w:t>Maksimal konsekvensafstand</w:t>
            </w:r>
          </w:p>
          <w:p w14:paraId="128D5196" w14:textId="77777777" w:rsidR="00B42911" w:rsidRPr="009C3E36" w:rsidRDefault="00B42911" w:rsidP="00CB013A">
            <w:pPr>
              <w:jc w:val="both"/>
              <w:rPr>
                <w:rFonts w:ascii="Arial" w:hAnsi="Arial" w:cs="Arial"/>
                <w:i/>
                <w:sz w:val="18"/>
                <w:szCs w:val="18"/>
              </w:rPr>
            </w:pPr>
            <w:r w:rsidRPr="009C3E36">
              <w:rPr>
                <w:rFonts w:ascii="Arial" w:hAnsi="Arial" w:cs="Arial"/>
                <w:i/>
                <w:sz w:val="18"/>
                <w:szCs w:val="18"/>
              </w:rPr>
              <w:t>(sandsynlighed for værst mulige uheld: 10</w:t>
            </w:r>
            <w:r w:rsidRPr="009C3E36">
              <w:rPr>
                <w:rFonts w:ascii="Arial" w:hAnsi="Arial" w:cs="Arial"/>
                <w:i/>
                <w:sz w:val="18"/>
                <w:szCs w:val="18"/>
                <w:vertAlign w:val="superscript"/>
              </w:rPr>
              <w:t>-5</w:t>
            </w:r>
            <w:r w:rsidRPr="009C3E36">
              <w:rPr>
                <w:rFonts w:ascii="Arial" w:hAnsi="Arial" w:cs="Arial"/>
                <w:i/>
                <w:sz w:val="18"/>
                <w:szCs w:val="18"/>
              </w:rPr>
              <w:t>&gt;P&gt;= 10</w:t>
            </w:r>
            <w:r w:rsidRPr="009C3E36">
              <w:rPr>
                <w:rFonts w:ascii="Arial" w:hAnsi="Arial" w:cs="Arial"/>
                <w:i/>
                <w:sz w:val="18"/>
                <w:szCs w:val="18"/>
                <w:vertAlign w:val="superscript"/>
              </w:rPr>
              <w:t>-9</w:t>
            </w:r>
            <w:r w:rsidRPr="009C3E36">
              <w:rPr>
                <w:rFonts w:ascii="Arial" w:hAnsi="Arial" w:cs="Arial"/>
                <w:i/>
                <w:sz w:val="18"/>
                <w:szCs w:val="18"/>
              </w:rPr>
              <w:t>)</w:t>
            </w:r>
          </w:p>
        </w:tc>
      </w:tr>
    </w:tbl>
    <w:p w14:paraId="04CD893E" w14:textId="77777777" w:rsidR="008708AB" w:rsidRDefault="008708AB" w:rsidP="00FD5FFA">
      <w:pPr>
        <w:ind w:firstLine="1304"/>
      </w:pPr>
    </w:p>
    <w:p w14:paraId="5C16CBC4" w14:textId="77777777" w:rsidR="008F4379" w:rsidRDefault="00646C61" w:rsidP="00B33584">
      <w:pPr>
        <w:rPr>
          <w:szCs w:val="22"/>
        </w:rPr>
      </w:pPr>
      <w:r>
        <w:t>Er risikoen fra virksom</w:t>
      </w:r>
      <w:r w:rsidR="00FD5FFA">
        <w:t>h</w:t>
      </w:r>
      <w:r>
        <w:t>e</w:t>
      </w:r>
      <w:r w:rsidR="00FD5FFA">
        <w:t>den for stor</w:t>
      </w:r>
      <w:r w:rsidR="00F5267C">
        <w:t xml:space="preserve"> i forhold til den konkrete anvendelse af omgivelserne,</w:t>
      </w:r>
      <w:r>
        <w:t xml:space="preserve"> vil risikomyndighederne måske kunne godkende virksomheden med særlige vilkår</w:t>
      </w:r>
      <w:r w:rsidR="00F5267C">
        <w:t>.</w:t>
      </w:r>
    </w:p>
    <w:p w14:paraId="7193F98A" w14:textId="62149307" w:rsidR="00DE7479" w:rsidRPr="008708AB" w:rsidRDefault="00C5483B" w:rsidP="001A4D56">
      <w:r>
        <w:t>Eksempel til udbygning</w:t>
      </w:r>
      <w:r w:rsidR="00B409AA">
        <w:rPr>
          <w:noProof/>
        </w:rPr>
        <w:drawing>
          <wp:inline distT="0" distB="0" distL="0" distR="0" wp14:anchorId="5EE6AF9C" wp14:editId="52EBE3D7">
            <wp:extent cx="4713026" cy="4672043"/>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dklip.PNG"/>
                    <pic:cNvPicPr/>
                  </pic:nvPicPr>
                  <pic:blipFill>
                    <a:blip r:embed="rId13">
                      <a:extLst>
                        <a:ext uri="{28A0092B-C50C-407E-A947-70E740481C1C}">
                          <a14:useLocalDpi xmlns:a14="http://schemas.microsoft.com/office/drawing/2010/main" val="0"/>
                        </a:ext>
                      </a:extLst>
                    </a:blip>
                    <a:stretch>
                      <a:fillRect/>
                    </a:stretch>
                  </pic:blipFill>
                  <pic:spPr>
                    <a:xfrm>
                      <a:off x="0" y="0"/>
                      <a:ext cx="4713026" cy="4672043"/>
                    </a:xfrm>
                    <a:prstGeom prst="rect">
                      <a:avLst/>
                    </a:prstGeom>
                  </pic:spPr>
                </pic:pic>
              </a:graphicData>
            </a:graphic>
          </wp:inline>
        </w:drawing>
      </w:r>
      <w:r w:rsidR="004975A5">
        <w:rPr>
          <w:noProof/>
        </w:rPr>
        <mc:AlternateContent>
          <mc:Choice Requires="wps">
            <w:drawing>
              <wp:anchor distT="0" distB="0" distL="114300" distR="114300" simplePos="0" relativeHeight="251660288" behindDoc="0" locked="0" layoutInCell="1" allowOverlap="1" wp14:anchorId="3E9085B9" wp14:editId="1CE0406F">
                <wp:simplePos x="0" y="0"/>
                <wp:positionH relativeFrom="column">
                  <wp:posOffset>661035</wp:posOffset>
                </wp:positionH>
                <wp:positionV relativeFrom="paragraph">
                  <wp:posOffset>4425315</wp:posOffset>
                </wp:positionV>
                <wp:extent cx="4057650" cy="2667000"/>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7650" cy="2667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7491DB" w14:textId="77777777" w:rsidR="00F66500" w:rsidRPr="001138DC" w:rsidRDefault="00F66500" w:rsidP="00C5483B">
                            <w:pPr>
                              <w:spacing w:line="240" w:lineRule="auto"/>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085B9" id="Rectangle 7" o:spid="_x0000_s1026" style="position:absolute;margin-left:52.05pt;margin-top:348.45pt;width:319.5pt;height:21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" stroked="f">
                <v:fill opacity="0"/>
                <v:textbox>
                  <w:txbxContent>
                    <w:p w14:paraId="4A7491DB" w14:textId="77777777" w:rsidR="00F66500" w:rsidRPr="001138DC" w:rsidRDefault="00F66500" w:rsidP="00C5483B">
                      <w:pPr>
                        <w:spacing w:line="240" w:lineRule="auto"/>
                        <w:rPr>
                          <w:sz w:val="16"/>
                          <w:szCs w:val="16"/>
                        </w:rPr>
                      </w:pPr>
                    </w:p>
                  </w:txbxContent>
                </v:textbox>
              </v:rect>
            </w:pict>
          </mc:Fallback>
        </mc:AlternateContent>
      </w:r>
    </w:p>
    <w:sectPr w:rsidR="00DE7479" w:rsidRPr="008708AB" w:rsidSect="008708AB">
      <w:footerReference w:type="even" r:id="rId14"/>
      <w:footerReference w:type="default" r:id="rId15"/>
      <w:pgSz w:w="11906" w:h="16838" w:code="9"/>
      <w:pgMar w:top="2041" w:right="3175" w:bottom="680" w:left="1417" w:header="357" w:footer="454"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 w:author="jogals" w:date="2014-07-08T14:06:00Z" w:initials="j">
    <w:p w14:paraId="4966E326" w14:textId="77777777" w:rsidR="00F66500" w:rsidRDefault="00F66500">
      <w:pPr>
        <w:pStyle w:val="Kommentartekst"/>
      </w:pPr>
      <w:r>
        <w:rPr>
          <w:rStyle w:val="Kommentarhenvisning"/>
        </w:rPr>
        <w:annotationRef/>
      </w:r>
      <w:r>
        <w:t>NB De lokale myndigheder kan fastsætte andre værdier</w:t>
      </w:r>
    </w:p>
  </w:comment>
  <w:comment w:id="13" w:author="jogals" w:date="2014-07-08T14:07:00Z" w:initials="j">
    <w:p w14:paraId="0B24F396" w14:textId="77777777" w:rsidR="00F66500" w:rsidRDefault="00F66500">
      <w:pPr>
        <w:pStyle w:val="Kommentartekst"/>
      </w:pPr>
      <w:r>
        <w:rPr>
          <w:rStyle w:val="Kommentarhenvisning"/>
        </w:rPr>
        <w:annotationRef/>
      </w:r>
      <w:r>
        <w:t>NB De lokale myndigheder kan ønske andre toxicitetskriterier anvendt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966E326" w15:done="0"/>
  <w15:commentEx w15:paraId="0B24F39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3608D" w14:textId="77777777" w:rsidR="00FB5F12" w:rsidRDefault="00FB5F12">
      <w:r>
        <w:separator/>
      </w:r>
    </w:p>
  </w:endnote>
  <w:endnote w:type="continuationSeparator" w:id="0">
    <w:p w14:paraId="4A46BB0C" w14:textId="77777777" w:rsidR="00FB5F12" w:rsidRDefault="00FB5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0DD18" w14:textId="77777777" w:rsidR="00F66500" w:rsidRDefault="00142DF4" w:rsidP="00495993">
    <w:pPr>
      <w:pStyle w:val="Sidefod"/>
      <w:framePr w:wrap="around" w:vAnchor="text" w:hAnchor="margin" w:xAlign="right" w:y="1"/>
      <w:rPr>
        <w:rStyle w:val="Sidetal"/>
      </w:rPr>
    </w:pPr>
    <w:r>
      <w:rPr>
        <w:rStyle w:val="Sidetal"/>
      </w:rPr>
      <w:fldChar w:fldCharType="begin"/>
    </w:r>
    <w:r w:rsidR="00F66500">
      <w:rPr>
        <w:rStyle w:val="Sidetal"/>
      </w:rPr>
      <w:instrText xml:space="preserve">PAGE  </w:instrText>
    </w:r>
    <w:r>
      <w:rPr>
        <w:rStyle w:val="Sidetal"/>
      </w:rPr>
      <w:fldChar w:fldCharType="end"/>
    </w:r>
  </w:p>
  <w:p w14:paraId="122EBF15" w14:textId="77777777" w:rsidR="00F66500" w:rsidRDefault="00F66500" w:rsidP="00E94852">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CD404" w14:textId="77777777" w:rsidR="00F66500" w:rsidRPr="00DE7479" w:rsidRDefault="00BB4B16" w:rsidP="00DE7479">
    <w:pPr>
      <w:jc w:val="right"/>
    </w:pPr>
    <w:r>
      <w:fldChar w:fldCharType="begin"/>
    </w:r>
    <w:r>
      <w:instrText xml:space="preserve"> PAGE </w:instrText>
    </w:r>
    <w:r>
      <w:fldChar w:fldCharType="separate"/>
    </w:r>
    <w:r w:rsidR="004975A5">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38FD8" w14:textId="77777777" w:rsidR="00FB5F12" w:rsidRDefault="00FB5F12">
      <w:r>
        <w:separator/>
      </w:r>
    </w:p>
  </w:footnote>
  <w:footnote w:type="continuationSeparator" w:id="0">
    <w:p w14:paraId="182952ED" w14:textId="77777777" w:rsidR="00FB5F12" w:rsidRDefault="00FB5F12">
      <w:r>
        <w:continuationSeparator/>
      </w:r>
    </w:p>
  </w:footnote>
  <w:footnote w:id="1">
    <w:p w14:paraId="1954E4FF" w14:textId="77777777" w:rsidR="008F65DE" w:rsidRDefault="008F65DE">
      <w:pPr>
        <w:pStyle w:val="Fodnotetekst"/>
      </w:pPr>
      <w:r>
        <w:rPr>
          <w:rStyle w:val="Fodnotehenvisning"/>
        </w:rPr>
        <w:footnoteRef/>
      </w:r>
      <w:r>
        <w:t xml:space="preserve"> Version 2 af anbefalingsbrevet er opdateret med mere hensigtsmæssig zone-grafik der samlet kan flyttes rundt afhængig af teksten</w:t>
      </w:r>
      <w:r w:rsidR="002B7DD5">
        <w:t xml:space="preserve"> (november 2018)</w:t>
      </w:r>
    </w:p>
  </w:footnote>
  <w:footnote w:id="2">
    <w:p w14:paraId="68E1D078" w14:textId="77777777" w:rsidR="00F66500" w:rsidRDefault="00F66500" w:rsidP="00886FDD">
      <w:pPr>
        <w:pStyle w:val="Fodnotetekst"/>
      </w:pPr>
      <w:r>
        <w:rPr>
          <w:rStyle w:val="Fodnotehenvisning"/>
        </w:rPr>
        <w:footnoteRef/>
      </w:r>
      <w:r>
        <w:t xml:space="preserve"> MKN-100-00595, 30. november 2010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8BA34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0E63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6887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1E82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5CDA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10CA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3EEA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A8A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F0C3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CE56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A103A"/>
    <w:multiLevelType w:val="hybridMultilevel"/>
    <w:tmpl w:val="9DC66234"/>
    <w:lvl w:ilvl="0" w:tplc="C4D81282">
      <w:start w:val="1"/>
      <w:numFmt w:val="decimal"/>
      <w:lvlText w:val="%1)"/>
      <w:lvlJc w:val="left"/>
      <w:pPr>
        <w:ind w:left="408" w:hanging="360"/>
      </w:pPr>
      <w:rPr>
        <w:rFonts w:hint="default"/>
        <w:b/>
        <w:vertAlign w:val="superscript"/>
      </w:rPr>
    </w:lvl>
    <w:lvl w:ilvl="1" w:tplc="04060019" w:tentative="1">
      <w:start w:val="1"/>
      <w:numFmt w:val="lowerLetter"/>
      <w:lvlText w:val="%2."/>
      <w:lvlJc w:val="left"/>
      <w:pPr>
        <w:ind w:left="1128" w:hanging="360"/>
      </w:pPr>
    </w:lvl>
    <w:lvl w:ilvl="2" w:tplc="0406001B" w:tentative="1">
      <w:start w:val="1"/>
      <w:numFmt w:val="lowerRoman"/>
      <w:lvlText w:val="%3."/>
      <w:lvlJc w:val="right"/>
      <w:pPr>
        <w:ind w:left="1848" w:hanging="180"/>
      </w:pPr>
    </w:lvl>
    <w:lvl w:ilvl="3" w:tplc="0406000F" w:tentative="1">
      <w:start w:val="1"/>
      <w:numFmt w:val="decimal"/>
      <w:lvlText w:val="%4."/>
      <w:lvlJc w:val="left"/>
      <w:pPr>
        <w:ind w:left="2568" w:hanging="360"/>
      </w:pPr>
    </w:lvl>
    <w:lvl w:ilvl="4" w:tplc="04060019" w:tentative="1">
      <w:start w:val="1"/>
      <w:numFmt w:val="lowerLetter"/>
      <w:lvlText w:val="%5."/>
      <w:lvlJc w:val="left"/>
      <w:pPr>
        <w:ind w:left="3288" w:hanging="360"/>
      </w:pPr>
    </w:lvl>
    <w:lvl w:ilvl="5" w:tplc="0406001B" w:tentative="1">
      <w:start w:val="1"/>
      <w:numFmt w:val="lowerRoman"/>
      <w:lvlText w:val="%6."/>
      <w:lvlJc w:val="right"/>
      <w:pPr>
        <w:ind w:left="4008" w:hanging="180"/>
      </w:pPr>
    </w:lvl>
    <w:lvl w:ilvl="6" w:tplc="0406000F" w:tentative="1">
      <w:start w:val="1"/>
      <w:numFmt w:val="decimal"/>
      <w:lvlText w:val="%7."/>
      <w:lvlJc w:val="left"/>
      <w:pPr>
        <w:ind w:left="4728" w:hanging="360"/>
      </w:pPr>
    </w:lvl>
    <w:lvl w:ilvl="7" w:tplc="04060019" w:tentative="1">
      <w:start w:val="1"/>
      <w:numFmt w:val="lowerLetter"/>
      <w:lvlText w:val="%8."/>
      <w:lvlJc w:val="left"/>
      <w:pPr>
        <w:ind w:left="5448" w:hanging="360"/>
      </w:pPr>
    </w:lvl>
    <w:lvl w:ilvl="8" w:tplc="0406001B" w:tentative="1">
      <w:start w:val="1"/>
      <w:numFmt w:val="lowerRoman"/>
      <w:lvlText w:val="%9."/>
      <w:lvlJc w:val="right"/>
      <w:pPr>
        <w:ind w:left="6168" w:hanging="180"/>
      </w:pPr>
    </w:lvl>
  </w:abstractNum>
  <w:abstractNum w:abstractNumId="11" w15:restartNumberingAfterBreak="0">
    <w:nsid w:val="5073069D"/>
    <w:multiLevelType w:val="hybridMultilevel"/>
    <w:tmpl w:val="A54CDC74"/>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9210CFA"/>
    <w:multiLevelType w:val="hybridMultilevel"/>
    <w:tmpl w:val="E6CEEC5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5AC27CE0"/>
    <w:multiLevelType w:val="hybridMultilevel"/>
    <w:tmpl w:val="E6A27912"/>
    <w:lvl w:ilvl="0" w:tplc="E8C21758">
      <w:start w:val="1"/>
      <w:numFmt w:val="bullet"/>
      <w:lvlText w:val="-"/>
      <w:lvlJc w:val="left"/>
      <w:pPr>
        <w:tabs>
          <w:tab w:val="num" w:pos="720"/>
        </w:tabs>
        <w:ind w:left="720" w:hanging="360"/>
      </w:pPr>
      <w:rPr>
        <w:rFonts w:ascii="Arial" w:hAnsi="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6D395E"/>
    <w:multiLevelType w:val="hybridMultilevel"/>
    <w:tmpl w:val="32D8FD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1304"/>
  <w:hyphenationZone w:val="420"/>
  <w:doNotHyphenateCaps/>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8AB"/>
    <w:rsid w:val="000017EF"/>
    <w:rsid w:val="00002EA0"/>
    <w:rsid w:val="00003636"/>
    <w:rsid w:val="00005FAA"/>
    <w:rsid w:val="00014D05"/>
    <w:rsid w:val="0001528D"/>
    <w:rsid w:val="000166A0"/>
    <w:rsid w:val="00030051"/>
    <w:rsid w:val="00037E7E"/>
    <w:rsid w:val="00060BC5"/>
    <w:rsid w:val="000635E9"/>
    <w:rsid w:val="000644E9"/>
    <w:rsid w:val="000647F2"/>
    <w:rsid w:val="000667A2"/>
    <w:rsid w:val="00070BA1"/>
    <w:rsid w:val="00073466"/>
    <w:rsid w:val="00082404"/>
    <w:rsid w:val="00084BBD"/>
    <w:rsid w:val="00086489"/>
    <w:rsid w:val="00096AA1"/>
    <w:rsid w:val="000A26F5"/>
    <w:rsid w:val="000A4853"/>
    <w:rsid w:val="000A7219"/>
    <w:rsid w:val="000B26E7"/>
    <w:rsid w:val="000B5461"/>
    <w:rsid w:val="000C0594"/>
    <w:rsid w:val="000C13E6"/>
    <w:rsid w:val="000C3D52"/>
    <w:rsid w:val="000C45B7"/>
    <w:rsid w:val="000C62D3"/>
    <w:rsid w:val="000D0F4C"/>
    <w:rsid w:val="000D1CF4"/>
    <w:rsid w:val="000D1D80"/>
    <w:rsid w:val="000D5FBF"/>
    <w:rsid w:val="000D600E"/>
    <w:rsid w:val="000E3992"/>
    <w:rsid w:val="000F6DC1"/>
    <w:rsid w:val="000F7824"/>
    <w:rsid w:val="001062D0"/>
    <w:rsid w:val="001210A9"/>
    <w:rsid w:val="001354CC"/>
    <w:rsid w:val="0014150F"/>
    <w:rsid w:val="00142DF4"/>
    <w:rsid w:val="00144670"/>
    <w:rsid w:val="0014577E"/>
    <w:rsid w:val="0014616C"/>
    <w:rsid w:val="00150899"/>
    <w:rsid w:val="0015248C"/>
    <w:rsid w:val="00152CB8"/>
    <w:rsid w:val="00156908"/>
    <w:rsid w:val="001743E7"/>
    <w:rsid w:val="001A4D56"/>
    <w:rsid w:val="001A58BF"/>
    <w:rsid w:val="001A6CB5"/>
    <w:rsid w:val="001A7E4B"/>
    <w:rsid w:val="001B05A6"/>
    <w:rsid w:val="001B3F10"/>
    <w:rsid w:val="001B72A9"/>
    <w:rsid w:val="001C2544"/>
    <w:rsid w:val="001C417D"/>
    <w:rsid w:val="001C4328"/>
    <w:rsid w:val="001D1196"/>
    <w:rsid w:val="001D19D8"/>
    <w:rsid w:val="001E33CF"/>
    <w:rsid w:val="001E38EF"/>
    <w:rsid w:val="001E7F16"/>
    <w:rsid w:val="001F3A47"/>
    <w:rsid w:val="00200B86"/>
    <w:rsid w:val="0020134B"/>
    <w:rsid w:val="0020402C"/>
    <w:rsid w:val="002044E3"/>
    <w:rsid w:val="00204BF4"/>
    <w:rsid w:val="00211AC9"/>
    <w:rsid w:val="00212497"/>
    <w:rsid w:val="002239C6"/>
    <w:rsid w:val="00223C7B"/>
    <w:rsid w:val="00235C1F"/>
    <w:rsid w:val="002366E2"/>
    <w:rsid w:val="00254B13"/>
    <w:rsid w:val="002629A8"/>
    <w:rsid w:val="002639DB"/>
    <w:rsid w:val="00264240"/>
    <w:rsid w:val="0026533A"/>
    <w:rsid w:val="002654F9"/>
    <w:rsid w:val="00267F76"/>
    <w:rsid w:val="0027546B"/>
    <w:rsid w:val="00284176"/>
    <w:rsid w:val="00287B90"/>
    <w:rsid w:val="00293240"/>
    <w:rsid w:val="002933E6"/>
    <w:rsid w:val="002A29B1"/>
    <w:rsid w:val="002B0CD5"/>
    <w:rsid w:val="002B7DD5"/>
    <w:rsid w:val="002C042D"/>
    <w:rsid w:val="002C4595"/>
    <w:rsid w:val="002C4D00"/>
    <w:rsid w:val="002D00C9"/>
    <w:rsid w:val="002D268E"/>
    <w:rsid w:val="002D7F0F"/>
    <w:rsid w:val="003001A2"/>
    <w:rsid w:val="003032FE"/>
    <w:rsid w:val="00304CAB"/>
    <w:rsid w:val="00310C3C"/>
    <w:rsid w:val="0031348B"/>
    <w:rsid w:val="00313642"/>
    <w:rsid w:val="00315AC9"/>
    <w:rsid w:val="00320951"/>
    <w:rsid w:val="00322BBE"/>
    <w:rsid w:val="00324282"/>
    <w:rsid w:val="00326ED5"/>
    <w:rsid w:val="00331970"/>
    <w:rsid w:val="00343A37"/>
    <w:rsid w:val="00345FA9"/>
    <w:rsid w:val="003558D9"/>
    <w:rsid w:val="003648C9"/>
    <w:rsid w:val="0036640D"/>
    <w:rsid w:val="003819FF"/>
    <w:rsid w:val="00385C06"/>
    <w:rsid w:val="003935EC"/>
    <w:rsid w:val="003A014D"/>
    <w:rsid w:val="003A22FC"/>
    <w:rsid w:val="003A3369"/>
    <w:rsid w:val="003A44A9"/>
    <w:rsid w:val="003D3CB2"/>
    <w:rsid w:val="003D518E"/>
    <w:rsid w:val="003E06B4"/>
    <w:rsid w:val="003E09D1"/>
    <w:rsid w:val="003E3617"/>
    <w:rsid w:val="003F0D75"/>
    <w:rsid w:val="00401738"/>
    <w:rsid w:val="0040506D"/>
    <w:rsid w:val="00406AF1"/>
    <w:rsid w:val="0041385B"/>
    <w:rsid w:val="00415BC0"/>
    <w:rsid w:val="004232F9"/>
    <w:rsid w:val="0043147C"/>
    <w:rsid w:val="0044020D"/>
    <w:rsid w:val="00440668"/>
    <w:rsid w:val="004421D7"/>
    <w:rsid w:val="00447B83"/>
    <w:rsid w:val="00450475"/>
    <w:rsid w:val="00457882"/>
    <w:rsid w:val="00460547"/>
    <w:rsid w:val="00460B5A"/>
    <w:rsid w:val="00465407"/>
    <w:rsid w:val="0046600E"/>
    <w:rsid w:val="00467E79"/>
    <w:rsid w:val="00472859"/>
    <w:rsid w:val="00476722"/>
    <w:rsid w:val="00481EEB"/>
    <w:rsid w:val="0049262A"/>
    <w:rsid w:val="00495993"/>
    <w:rsid w:val="004975A5"/>
    <w:rsid w:val="004A3AAA"/>
    <w:rsid w:val="004A4315"/>
    <w:rsid w:val="004A49D8"/>
    <w:rsid w:val="004A6AEE"/>
    <w:rsid w:val="004B5995"/>
    <w:rsid w:val="004B5AC3"/>
    <w:rsid w:val="004C17C7"/>
    <w:rsid w:val="004C237E"/>
    <w:rsid w:val="004C47EC"/>
    <w:rsid w:val="004C491E"/>
    <w:rsid w:val="004C63FE"/>
    <w:rsid w:val="004C7F19"/>
    <w:rsid w:val="004D08D2"/>
    <w:rsid w:val="004D23C9"/>
    <w:rsid w:val="004D3206"/>
    <w:rsid w:val="004D6645"/>
    <w:rsid w:val="004E642A"/>
    <w:rsid w:val="004E7C82"/>
    <w:rsid w:val="00500EFC"/>
    <w:rsid w:val="00501E2E"/>
    <w:rsid w:val="0051781E"/>
    <w:rsid w:val="00520971"/>
    <w:rsid w:val="005267CB"/>
    <w:rsid w:val="00531869"/>
    <w:rsid w:val="00535B7D"/>
    <w:rsid w:val="00554FAA"/>
    <w:rsid w:val="00563773"/>
    <w:rsid w:val="005650F2"/>
    <w:rsid w:val="005672CB"/>
    <w:rsid w:val="00576B90"/>
    <w:rsid w:val="00590C13"/>
    <w:rsid w:val="0059175F"/>
    <w:rsid w:val="0059560E"/>
    <w:rsid w:val="00596C25"/>
    <w:rsid w:val="005A01E1"/>
    <w:rsid w:val="005A50B9"/>
    <w:rsid w:val="005C5031"/>
    <w:rsid w:val="005C51A1"/>
    <w:rsid w:val="005D2B26"/>
    <w:rsid w:val="005D543F"/>
    <w:rsid w:val="005D7152"/>
    <w:rsid w:val="005E352B"/>
    <w:rsid w:val="005E4484"/>
    <w:rsid w:val="005F61FB"/>
    <w:rsid w:val="00601063"/>
    <w:rsid w:val="00604DC5"/>
    <w:rsid w:val="006067F0"/>
    <w:rsid w:val="00610541"/>
    <w:rsid w:val="00610A43"/>
    <w:rsid w:val="00612296"/>
    <w:rsid w:val="006161E8"/>
    <w:rsid w:val="00623A75"/>
    <w:rsid w:val="00630FD8"/>
    <w:rsid w:val="0063273A"/>
    <w:rsid w:val="00632DB3"/>
    <w:rsid w:val="00632EB9"/>
    <w:rsid w:val="00646C61"/>
    <w:rsid w:val="00655780"/>
    <w:rsid w:val="00656763"/>
    <w:rsid w:val="00656C96"/>
    <w:rsid w:val="00661781"/>
    <w:rsid w:val="006665A1"/>
    <w:rsid w:val="006706E8"/>
    <w:rsid w:val="00674E3A"/>
    <w:rsid w:val="00681E78"/>
    <w:rsid w:val="00683056"/>
    <w:rsid w:val="0068783F"/>
    <w:rsid w:val="00696E85"/>
    <w:rsid w:val="006A18C5"/>
    <w:rsid w:val="006A381E"/>
    <w:rsid w:val="006D09A7"/>
    <w:rsid w:val="006D6830"/>
    <w:rsid w:val="006E7F1D"/>
    <w:rsid w:val="006F4DCD"/>
    <w:rsid w:val="006F7DAE"/>
    <w:rsid w:val="00702FF2"/>
    <w:rsid w:val="00703B66"/>
    <w:rsid w:val="00705EAB"/>
    <w:rsid w:val="0071465A"/>
    <w:rsid w:val="00720984"/>
    <w:rsid w:val="00723455"/>
    <w:rsid w:val="00724D6D"/>
    <w:rsid w:val="0073754C"/>
    <w:rsid w:val="00737C69"/>
    <w:rsid w:val="0074716F"/>
    <w:rsid w:val="00753673"/>
    <w:rsid w:val="007540BD"/>
    <w:rsid w:val="00762205"/>
    <w:rsid w:val="0076323D"/>
    <w:rsid w:val="00777752"/>
    <w:rsid w:val="0078126F"/>
    <w:rsid w:val="007830BE"/>
    <w:rsid w:val="007940C9"/>
    <w:rsid w:val="00796312"/>
    <w:rsid w:val="007A0F36"/>
    <w:rsid w:val="007B1B23"/>
    <w:rsid w:val="007B21FA"/>
    <w:rsid w:val="007B2ADE"/>
    <w:rsid w:val="007B3377"/>
    <w:rsid w:val="007B3940"/>
    <w:rsid w:val="007B7189"/>
    <w:rsid w:val="007C2661"/>
    <w:rsid w:val="007D492E"/>
    <w:rsid w:val="007E2776"/>
    <w:rsid w:val="007E3A3B"/>
    <w:rsid w:val="007E51F2"/>
    <w:rsid w:val="007E5BC5"/>
    <w:rsid w:val="007E5E97"/>
    <w:rsid w:val="007E7688"/>
    <w:rsid w:val="007F770C"/>
    <w:rsid w:val="00802CB9"/>
    <w:rsid w:val="00807BA4"/>
    <w:rsid w:val="00821133"/>
    <w:rsid w:val="00830420"/>
    <w:rsid w:val="008407EC"/>
    <w:rsid w:val="0084333E"/>
    <w:rsid w:val="0084379B"/>
    <w:rsid w:val="00844CA9"/>
    <w:rsid w:val="008559E9"/>
    <w:rsid w:val="00860D2C"/>
    <w:rsid w:val="00861CBA"/>
    <w:rsid w:val="00863B4C"/>
    <w:rsid w:val="008708AB"/>
    <w:rsid w:val="00872AC0"/>
    <w:rsid w:val="00876D4C"/>
    <w:rsid w:val="00885BA9"/>
    <w:rsid w:val="00886FDD"/>
    <w:rsid w:val="00892B13"/>
    <w:rsid w:val="008942A9"/>
    <w:rsid w:val="008A1C6B"/>
    <w:rsid w:val="008B1B83"/>
    <w:rsid w:val="008B3ADA"/>
    <w:rsid w:val="008C5F4A"/>
    <w:rsid w:val="008E3990"/>
    <w:rsid w:val="008F1D5B"/>
    <w:rsid w:val="008F272E"/>
    <w:rsid w:val="008F4379"/>
    <w:rsid w:val="008F4662"/>
    <w:rsid w:val="008F65DE"/>
    <w:rsid w:val="008F6B2B"/>
    <w:rsid w:val="00906916"/>
    <w:rsid w:val="0092514B"/>
    <w:rsid w:val="009264AA"/>
    <w:rsid w:val="00943D9C"/>
    <w:rsid w:val="009461F0"/>
    <w:rsid w:val="00952BDC"/>
    <w:rsid w:val="009532A4"/>
    <w:rsid w:val="009601F5"/>
    <w:rsid w:val="0096186C"/>
    <w:rsid w:val="00970F21"/>
    <w:rsid w:val="00975F3B"/>
    <w:rsid w:val="0098382A"/>
    <w:rsid w:val="00984071"/>
    <w:rsid w:val="009943CD"/>
    <w:rsid w:val="00994E91"/>
    <w:rsid w:val="009C3E36"/>
    <w:rsid w:val="009C6BB2"/>
    <w:rsid w:val="009E27B6"/>
    <w:rsid w:val="009E7920"/>
    <w:rsid w:val="009F368F"/>
    <w:rsid w:val="009F4367"/>
    <w:rsid w:val="00A029A3"/>
    <w:rsid w:val="00A03CE6"/>
    <w:rsid w:val="00A03E48"/>
    <w:rsid w:val="00A043A1"/>
    <w:rsid w:val="00A11F5A"/>
    <w:rsid w:val="00A158CB"/>
    <w:rsid w:val="00A321D1"/>
    <w:rsid w:val="00A34B40"/>
    <w:rsid w:val="00A36292"/>
    <w:rsid w:val="00A36D64"/>
    <w:rsid w:val="00A37A1A"/>
    <w:rsid w:val="00A5408B"/>
    <w:rsid w:val="00A556CE"/>
    <w:rsid w:val="00A6364B"/>
    <w:rsid w:val="00A67D37"/>
    <w:rsid w:val="00A72DDE"/>
    <w:rsid w:val="00A753CB"/>
    <w:rsid w:val="00A92231"/>
    <w:rsid w:val="00A923E2"/>
    <w:rsid w:val="00A94EDA"/>
    <w:rsid w:val="00A964CE"/>
    <w:rsid w:val="00AC35D6"/>
    <w:rsid w:val="00AD678B"/>
    <w:rsid w:val="00AE5A17"/>
    <w:rsid w:val="00AF5AF6"/>
    <w:rsid w:val="00B025B4"/>
    <w:rsid w:val="00B13BB6"/>
    <w:rsid w:val="00B2565D"/>
    <w:rsid w:val="00B30727"/>
    <w:rsid w:val="00B307E0"/>
    <w:rsid w:val="00B33087"/>
    <w:rsid w:val="00B33584"/>
    <w:rsid w:val="00B409AA"/>
    <w:rsid w:val="00B42911"/>
    <w:rsid w:val="00B441D7"/>
    <w:rsid w:val="00B5206A"/>
    <w:rsid w:val="00B602AD"/>
    <w:rsid w:val="00B62C4E"/>
    <w:rsid w:val="00B67520"/>
    <w:rsid w:val="00B734BB"/>
    <w:rsid w:val="00B77950"/>
    <w:rsid w:val="00B80700"/>
    <w:rsid w:val="00B86940"/>
    <w:rsid w:val="00B90A33"/>
    <w:rsid w:val="00B91712"/>
    <w:rsid w:val="00B91D48"/>
    <w:rsid w:val="00B932C3"/>
    <w:rsid w:val="00BA7059"/>
    <w:rsid w:val="00BB3A9B"/>
    <w:rsid w:val="00BB40C8"/>
    <w:rsid w:val="00BB4B16"/>
    <w:rsid w:val="00BB6985"/>
    <w:rsid w:val="00BB6DD9"/>
    <w:rsid w:val="00BC6602"/>
    <w:rsid w:val="00BD787B"/>
    <w:rsid w:val="00BE0CE4"/>
    <w:rsid w:val="00BE1C7B"/>
    <w:rsid w:val="00BE677B"/>
    <w:rsid w:val="00BE7D68"/>
    <w:rsid w:val="00C03ED1"/>
    <w:rsid w:val="00C21584"/>
    <w:rsid w:val="00C26117"/>
    <w:rsid w:val="00C3559B"/>
    <w:rsid w:val="00C40F04"/>
    <w:rsid w:val="00C41BBD"/>
    <w:rsid w:val="00C437EC"/>
    <w:rsid w:val="00C44620"/>
    <w:rsid w:val="00C4735E"/>
    <w:rsid w:val="00C5483B"/>
    <w:rsid w:val="00C57362"/>
    <w:rsid w:val="00C57CA7"/>
    <w:rsid w:val="00C60D08"/>
    <w:rsid w:val="00C617FE"/>
    <w:rsid w:val="00C63071"/>
    <w:rsid w:val="00C64F3D"/>
    <w:rsid w:val="00C7051E"/>
    <w:rsid w:val="00C70BEA"/>
    <w:rsid w:val="00C70D47"/>
    <w:rsid w:val="00C71B04"/>
    <w:rsid w:val="00C766CC"/>
    <w:rsid w:val="00C76B7D"/>
    <w:rsid w:val="00C8406C"/>
    <w:rsid w:val="00C87AAA"/>
    <w:rsid w:val="00CA6429"/>
    <w:rsid w:val="00CB013A"/>
    <w:rsid w:val="00CB5C14"/>
    <w:rsid w:val="00CC6892"/>
    <w:rsid w:val="00CD31FE"/>
    <w:rsid w:val="00CD4F1D"/>
    <w:rsid w:val="00CE1580"/>
    <w:rsid w:val="00CE1EC6"/>
    <w:rsid w:val="00CE5201"/>
    <w:rsid w:val="00CF1DDE"/>
    <w:rsid w:val="00CF4BFA"/>
    <w:rsid w:val="00CF760D"/>
    <w:rsid w:val="00D008ED"/>
    <w:rsid w:val="00D01EDA"/>
    <w:rsid w:val="00D10DFC"/>
    <w:rsid w:val="00D16472"/>
    <w:rsid w:val="00D27001"/>
    <w:rsid w:val="00D321C9"/>
    <w:rsid w:val="00D37FC2"/>
    <w:rsid w:val="00D51D8B"/>
    <w:rsid w:val="00D7431F"/>
    <w:rsid w:val="00D80B14"/>
    <w:rsid w:val="00D81B1D"/>
    <w:rsid w:val="00D922CF"/>
    <w:rsid w:val="00D951B4"/>
    <w:rsid w:val="00DA6734"/>
    <w:rsid w:val="00DB1C1F"/>
    <w:rsid w:val="00DB22A1"/>
    <w:rsid w:val="00DB541E"/>
    <w:rsid w:val="00DB56B3"/>
    <w:rsid w:val="00DD34F8"/>
    <w:rsid w:val="00DE24BE"/>
    <w:rsid w:val="00DE5B21"/>
    <w:rsid w:val="00DE7479"/>
    <w:rsid w:val="00DF2F94"/>
    <w:rsid w:val="00DF7938"/>
    <w:rsid w:val="00E13C27"/>
    <w:rsid w:val="00E26EAA"/>
    <w:rsid w:val="00E30FCA"/>
    <w:rsid w:val="00E36F97"/>
    <w:rsid w:val="00E373C1"/>
    <w:rsid w:val="00E42057"/>
    <w:rsid w:val="00E45F7E"/>
    <w:rsid w:val="00E50B1E"/>
    <w:rsid w:val="00E521F0"/>
    <w:rsid w:val="00E61029"/>
    <w:rsid w:val="00E62BEE"/>
    <w:rsid w:val="00E63075"/>
    <w:rsid w:val="00E644BF"/>
    <w:rsid w:val="00E6566A"/>
    <w:rsid w:val="00E73A40"/>
    <w:rsid w:val="00E81697"/>
    <w:rsid w:val="00E91A59"/>
    <w:rsid w:val="00E928D4"/>
    <w:rsid w:val="00E94852"/>
    <w:rsid w:val="00EA199F"/>
    <w:rsid w:val="00EA4D25"/>
    <w:rsid w:val="00EA576F"/>
    <w:rsid w:val="00EB0255"/>
    <w:rsid w:val="00EB3838"/>
    <w:rsid w:val="00EB4C77"/>
    <w:rsid w:val="00EC2095"/>
    <w:rsid w:val="00EC5E51"/>
    <w:rsid w:val="00ED01BB"/>
    <w:rsid w:val="00ED48AE"/>
    <w:rsid w:val="00EE65A7"/>
    <w:rsid w:val="00EF3505"/>
    <w:rsid w:val="00EF48EC"/>
    <w:rsid w:val="00EF5DD3"/>
    <w:rsid w:val="00EF6016"/>
    <w:rsid w:val="00EF7F25"/>
    <w:rsid w:val="00F05E03"/>
    <w:rsid w:val="00F2061A"/>
    <w:rsid w:val="00F30057"/>
    <w:rsid w:val="00F34750"/>
    <w:rsid w:val="00F47B3A"/>
    <w:rsid w:val="00F47F29"/>
    <w:rsid w:val="00F5267C"/>
    <w:rsid w:val="00F602C8"/>
    <w:rsid w:val="00F66500"/>
    <w:rsid w:val="00F7168A"/>
    <w:rsid w:val="00F77228"/>
    <w:rsid w:val="00F90567"/>
    <w:rsid w:val="00F91352"/>
    <w:rsid w:val="00F922ED"/>
    <w:rsid w:val="00F94C66"/>
    <w:rsid w:val="00FA1CF4"/>
    <w:rsid w:val="00FB5F12"/>
    <w:rsid w:val="00FB7ADE"/>
    <w:rsid w:val="00FC0B3F"/>
    <w:rsid w:val="00FC164F"/>
    <w:rsid w:val="00FD2036"/>
    <w:rsid w:val="00FD5FFA"/>
    <w:rsid w:val="00FE45B3"/>
    <w:rsid w:val="00FF008E"/>
    <w:rsid w:val="00FF3DA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430F00"/>
  <w15:docId w15:val="{ED8285A1-464F-4AB0-B7A3-556E5B906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479"/>
    <w:pPr>
      <w:suppressAutoHyphens/>
      <w:spacing w:line="260" w:lineRule="atLeast"/>
    </w:pPr>
    <w:rPr>
      <w:rFonts w:ascii="Georgia" w:hAnsi="Georgia"/>
      <w:szCs w:val="24"/>
    </w:rPr>
  </w:style>
  <w:style w:type="paragraph" w:styleId="Overskrift1">
    <w:name w:val="heading 1"/>
    <w:basedOn w:val="Normal"/>
    <w:next w:val="Normal"/>
    <w:qFormat/>
    <w:rsid w:val="00DE7479"/>
    <w:pPr>
      <w:keepNext/>
      <w:outlineLvl w:val="0"/>
    </w:pPr>
    <w:rPr>
      <w:rFonts w:cs="Arial"/>
      <w:b/>
      <w:bCs/>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2629A8"/>
    <w:pPr>
      <w:tabs>
        <w:tab w:val="center" w:pos="4819"/>
        <w:tab w:val="right" w:pos="9638"/>
      </w:tabs>
    </w:pPr>
  </w:style>
  <w:style w:type="paragraph" w:styleId="Sidefod">
    <w:name w:val="footer"/>
    <w:basedOn w:val="Normal"/>
    <w:rsid w:val="00DE7479"/>
    <w:pPr>
      <w:tabs>
        <w:tab w:val="center" w:pos="4819"/>
        <w:tab w:val="right" w:pos="9638"/>
      </w:tabs>
      <w:spacing w:line="168" w:lineRule="atLeast"/>
    </w:pPr>
    <w:rPr>
      <w:sz w:val="14"/>
    </w:rPr>
  </w:style>
  <w:style w:type="character" w:styleId="Sidetal">
    <w:name w:val="page number"/>
    <w:basedOn w:val="Standardskrifttypeiafsnit"/>
    <w:rsid w:val="00E94852"/>
  </w:style>
  <w:style w:type="table" w:styleId="Tabel-Gitter">
    <w:name w:val="Table Grid"/>
    <w:basedOn w:val="Tabel-Normal"/>
    <w:rsid w:val="0084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rsid w:val="000A7219"/>
    <w:rPr>
      <w:rFonts w:ascii="Arial" w:hAnsi="Arial"/>
      <w:sz w:val="22"/>
      <w:vertAlign w:val="superscript"/>
      <w:lang w:val="da-DK"/>
    </w:rPr>
  </w:style>
  <w:style w:type="paragraph" w:styleId="Fodnotetekst">
    <w:name w:val="footnote text"/>
    <w:basedOn w:val="Normal"/>
    <w:rsid w:val="000A7219"/>
    <w:rPr>
      <w:sz w:val="18"/>
      <w:szCs w:val="20"/>
    </w:rPr>
  </w:style>
  <w:style w:type="character" w:customStyle="1" w:styleId="ForklarendeTekst">
    <w:name w:val="ForklarendeTekst"/>
    <w:basedOn w:val="Standardskrifttypeiafsnit"/>
    <w:rsid w:val="00DE7479"/>
    <w:rPr>
      <w:rFonts w:ascii="Georgia" w:hAnsi="Georgia"/>
      <w:i/>
      <w:color w:val="FF0000"/>
      <w:sz w:val="18"/>
      <w:u w:val="none"/>
    </w:rPr>
  </w:style>
  <w:style w:type="paragraph" w:customStyle="1" w:styleId="Forklaring">
    <w:name w:val="Forklaring"/>
    <w:basedOn w:val="Normal"/>
    <w:rsid w:val="00DE7479"/>
    <w:rPr>
      <w:i/>
      <w:color w:val="FF0000"/>
    </w:rPr>
  </w:style>
  <w:style w:type="character" w:styleId="Strk">
    <w:name w:val="Strong"/>
    <w:qFormat/>
    <w:rsid w:val="008708AB"/>
    <w:rPr>
      <w:b/>
      <w:bCs/>
    </w:rPr>
  </w:style>
  <w:style w:type="character" w:styleId="Kommentarhenvisning">
    <w:name w:val="annotation reference"/>
    <w:rsid w:val="008708AB"/>
    <w:rPr>
      <w:sz w:val="16"/>
      <w:szCs w:val="16"/>
    </w:rPr>
  </w:style>
  <w:style w:type="paragraph" w:styleId="Kommentartekst">
    <w:name w:val="annotation text"/>
    <w:basedOn w:val="Normal"/>
    <w:link w:val="KommentartekstTegn"/>
    <w:rsid w:val="008708AB"/>
    <w:rPr>
      <w:szCs w:val="20"/>
    </w:rPr>
  </w:style>
  <w:style w:type="character" w:customStyle="1" w:styleId="KommentartekstTegn">
    <w:name w:val="Kommentartekst Tegn"/>
    <w:basedOn w:val="Standardskrifttypeiafsnit"/>
    <w:link w:val="Kommentartekst"/>
    <w:rsid w:val="008708AB"/>
    <w:rPr>
      <w:rFonts w:ascii="Georgia" w:hAnsi="Georgia"/>
    </w:rPr>
  </w:style>
  <w:style w:type="paragraph" w:styleId="Markeringsbobletekst">
    <w:name w:val="Balloon Text"/>
    <w:basedOn w:val="Normal"/>
    <w:link w:val="MarkeringsbobletekstTegn"/>
    <w:rsid w:val="008708AB"/>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8708AB"/>
    <w:rPr>
      <w:rFonts w:ascii="Tahoma" w:hAnsi="Tahoma" w:cs="Tahoma"/>
      <w:sz w:val="16"/>
      <w:szCs w:val="16"/>
    </w:rPr>
  </w:style>
  <w:style w:type="paragraph" w:styleId="Listeafsnit">
    <w:name w:val="List Paragraph"/>
    <w:basedOn w:val="Normal"/>
    <w:uiPriority w:val="34"/>
    <w:qFormat/>
    <w:rsid w:val="00E91A59"/>
    <w:pPr>
      <w:ind w:left="720"/>
      <w:contextualSpacing/>
    </w:pPr>
  </w:style>
  <w:style w:type="paragraph" w:styleId="Kommentaremne">
    <w:name w:val="annotation subject"/>
    <w:basedOn w:val="Kommentartekst"/>
    <w:next w:val="Kommentartekst"/>
    <w:link w:val="KommentaremneTegn"/>
    <w:rsid w:val="007B7189"/>
    <w:pPr>
      <w:spacing w:line="240" w:lineRule="auto"/>
    </w:pPr>
    <w:rPr>
      <w:b/>
      <w:bCs/>
    </w:rPr>
  </w:style>
  <w:style w:type="character" w:customStyle="1" w:styleId="KommentaremneTegn">
    <w:name w:val="Kommentaremne Tegn"/>
    <w:basedOn w:val="KommentartekstTegn"/>
    <w:link w:val="Kommentaremne"/>
    <w:rsid w:val="007B7189"/>
    <w:rPr>
      <w:rFonts w:ascii="Georgia" w:hAnsi="Georgia"/>
      <w:b/>
      <w:bCs/>
    </w:rPr>
  </w:style>
  <w:style w:type="character" w:styleId="Hyperlink">
    <w:name w:val="Hyperlink"/>
    <w:basedOn w:val="Standardskrifttypeiafsnit"/>
    <w:rsid w:val="00BE677B"/>
    <w:rPr>
      <w:color w:val="0000FF" w:themeColor="hyperlink"/>
      <w:u w:val="single"/>
    </w:rPr>
  </w:style>
  <w:style w:type="paragraph" w:styleId="Korrektur">
    <w:name w:val="Revision"/>
    <w:hidden/>
    <w:uiPriority w:val="99"/>
    <w:semiHidden/>
    <w:rsid w:val="00FC0B3F"/>
    <w:rPr>
      <w:rFonts w:ascii="Georgia" w:hAnsi="Georg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t.dk"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at@at.dk"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bec\AppData\Local\Milj&#248;ministeriet\Skabeloner\Almindeligt%20brev.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3CBA3-0342-48D4-BA4E-0CE54B344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Almindeligt brev.dotx</Template>
  <TotalTime>1</TotalTime>
  <Pages>6</Pages>
  <Words>1899</Words>
  <Characters>11587</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Title</vt:lpstr>
    </vt:vector>
  </TitlesOfParts>
  <Company>Miljøministeriet</Company>
  <LinksUpToDate>false</LinksUpToDate>
  <CharactersWithSpaces>13460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Henrik Bechmann Nielsen</dc:creator>
  <cp:lastModifiedBy>Emil Østergaard Houlberg</cp:lastModifiedBy>
  <cp:revision>2</cp:revision>
  <cp:lastPrinted>2013-11-05T11:30:00Z</cp:lastPrinted>
  <dcterms:created xsi:type="dcterms:W3CDTF">2023-09-12T09:24:00Z</dcterms:created>
  <dcterms:modified xsi:type="dcterms:W3CDTF">2023-09-12T09:24:00Z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C_ShowDialog">
    <vt:lpwstr>0</vt:lpwstr>
  </property>
  <property fmtid="{D5CDD505-2E9C-101B-9397-08002B2CF9AE}" pid="3" name="KC_OriginalTemplate">
    <vt:lpwstr>Almindeligt brev</vt:lpwstr>
  </property>
  <property fmtid="{D5CDD505-2E9C-101B-9397-08002B2CF9AE}" pid="4" name="KC_DocType">
    <vt:lpwstr>Almindeligt brev</vt:lpwstr>
  </property>
  <property fmtid="{D5CDD505-2E9C-101B-9397-08002B2CF9AE}" pid="5" name="_NewReviewCycle">
    <vt:lpwstr/>
  </property>
  <property fmtid="{D5CDD505-2E9C-101B-9397-08002B2CF9AE}" pid="6" name="ContentRemapped">
    <vt:lpwstr>true</vt:lpwstr>
  </property>
</Properties>
</file>